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0A085574" w:rsidR="00062553" w:rsidRDefault="00062553" w:rsidP="005D3515">
      <w:pPr>
        <w:pStyle w:val="3GPPHeader"/>
        <w:spacing w:after="0"/>
        <w:rPr>
          <w:rFonts w:ascii="Arial" w:hAnsi="Arial" w:cs="Arial"/>
        </w:rPr>
      </w:pPr>
      <w:r w:rsidRPr="00AD1B45">
        <w:rPr>
          <w:rFonts w:ascii="Arial" w:hAnsi="Arial" w:cs="Arial"/>
        </w:rPr>
        <w:t>3GPP TSG-RAN WG1 Meeting #</w:t>
      </w:r>
      <w:r w:rsidR="0087639A">
        <w:rPr>
          <w:rFonts w:ascii="Arial" w:hAnsi="Arial" w:cs="Arial"/>
        </w:rPr>
        <w:t>100</w:t>
      </w:r>
      <w:r w:rsidRPr="00AD1B45">
        <w:rPr>
          <w:rFonts w:ascii="Arial" w:hAnsi="Arial" w:cs="Arial"/>
        </w:rPr>
        <w:tab/>
      </w:r>
      <w:r w:rsidR="00BB1DB4" w:rsidRPr="00BB1DB4">
        <w:rPr>
          <w:rFonts w:ascii="Arial" w:hAnsi="Arial" w:cs="Arial"/>
        </w:rPr>
        <w:t>R1-2001285</w:t>
      </w:r>
    </w:p>
    <w:p w14:paraId="549D9DEB" w14:textId="2DAA4CE5" w:rsidR="006B52EA" w:rsidRPr="00AD1B45" w:rsidRDefault="0087639A" w:rsidP="005D3515">
      <w:pPr>
        <w:pStyle w:val="3GPPHeader"/>
        <w:spacing w:after="0"/>
        <w:rPr>
          <w:rFonts w:ascii="Arial" w:hAnsi="Arial" w:cs="Arial"/>
        </w:rPr>
      </w:pPr>
      <w:r>
        <w:rPr>
          <w:rFonts w:ascii="Arial" w:hAnsi="Arial" w:cs="Arial"/>
        </w:rPr>
        <w:t>e-Meeting,</w:t>
      </w:r>
      <w:r w:rsidRPr="0087639A">
        <w:t xml:space="preserve"> </w:t>
      </w:r>
      <w:r w:rsidRPr="0087639A">
        <w:rPr>
          <w:rFonts w:ascii="Arial" w:hAnsi="Arial" w:cs="Arial"/>
        </w:rPr>
        <w:t>February 24th – March 6th, 2020</w:t>
      </w:r>
      <w:r w:rsidR="0022495E">
        <w:rPr>
          <w:rFonts w:ascii="Arial" w:hAnsi="Arial" w:cs="Arial"/>
        </w:rPr>
        <w:tab/>
        <w:t xml:space="preserve">(revision of </w:t>
      </w:r>
      <w:r w:rsidR="0022495E" w:rsidRPr="0022495E">
        <w:rPr>
          <w:rFonts w:ascii="Arial" w:hAnsi="Arial" w:cs="Arial"/>
        </w:rPr>
        <w:t>R1-200077</w:t>
      </w:r>
      <w:r w:rsidR="006C0253">
        <w:rPr>
          <w:rFonts w:ascii="Arial" w:hAnsi="Arial" w:cs="Arial"/>
        </w:rPr>
        <w:t>9</w:t>
      </w:r>
      <w:r w:rsidR="0022495E">
        <w:rPr>
          <w:rFonts w:ascii="Arial" w:hAnsi="Arial" w:cs="Arial"/>
        </w:rPr>
        <w:t>)</w:t>
      </w:r>
      <w:r w:rsidR="006B52EA" w:rsidRPr="00AD1B45">
        <w:rPr>
          <w:rFonts w:ascii="Arial" w:hAnsi="Arial" w:cs="Arial"/>
        </w:rPr>
        <w:tab/>
      </w:r>
    </w:p>
    <w:p w14:paraId="0FBA01D8" w14:textId="77777777" w:rsidR="00CE6E0D" w:rsidRPr="00AD1B45" w:rsidRDefault="00CE6E0D" w:rsidP="00CE6E0D">
      <w:pPr>
        <w:pStyle w:val="3GPPHeader"/>
        <w:rPr>
          <w:rFonts w:ascii="Arial" w:hAnsi="Arial" w:cs="Arial"/>
        </w:rPr>
      </w:pP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t>Ericsson</w:t>
      </w:r>
    </w:p>
    <w:p w14:paraId="56DE853F" w14:textId="439558E4"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6C0253">
        <w:rPr>
          <w:rFonts w:ascii="Arial" w:hAnsi="Arial" w:cs="Arial"/>
          <w:sz w:val="22"/>
        </w:rPr>
        <w:t>3</w:t>
      </w:r>
      <w:r w:rsidR="006C0253" w:rsidRPr="00AD1B45">
        <w:rPr>
          <w:rFonts w:ascii="Arial" w:hAnsi="Arial" w:cs="Arial"/>
          <w:sz w:val="22"/>
        </w:rPr>
        <w:t xml:space="preserve"> </w:t>
      </w:r>
      <w:r w:rsidR="00163008" w:rsidRPr="00AD1B45">
        <w:rPr>
          <w:rFonts w:ascii="Arial" w:hAnsi="Arial" w:cs="Arial"/>
          <w:sz w:val="22"/>
        </w:rPr>
        <w:t>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7777777" w:rsidR="002820B0" w:rsidRPr="00CE0424" w:rsidRDefault="002820B0" w:rsidP="002820B0"/>
    <w:p w14:paraId="621F2299" w14:textId="6E8C3119" w:rsidR="009413F4" w:rsidRPr="00D34D4E" w:rsidRDefault="00AD4738" w:rsidP="00AD4738">
      <w:pPr>
        <w:pStyle w:val="Heading1"/>
      </w:pPr>
      <w:bookmarkStart w:id="0" w:name="_Ref178064866"/>
      <w:r>
        <w:t>1</w:t>
      </w:r>
      <w:r>
        <w:tab/>
      </w:r>
      <w:r w:rsidR="009413F4" w:rsidRPr="00AD4738">
        <w:t>List</w:t>
      </w:r>
      <w:r w:rsidR="009413F4" w:rsidRPr="00D34D4E">
        <w:t xml:space="preserve"> of </w:t>
      </w:r>
      <w:r w:rsidR="00B9540F">
        <w:t xml:space="preserve">prioritized </w:t>
      </w:r>
      <w:r w:rsidR="00E531DF">
        <w:t>critical issues</w:t>
      </w:r>
    </w:p>
    <w:p w14:paraId="04DD75D0" w14:textId="4F83F1AC" w:rsidR="0003138A" w:rsidRPr="00AD4738" w:rsidRDefault="00AD4738" w:rsidP="00AD4738">
      <w:pPr>
        <w:pStyle w:val="Heading2"/>
        <w:rPr>
          <w:rFonts w:eastAsia="SimSun"/>
          <w:lang w:eastAsia="fi-FI"/>
        </w:rPr>
      </w:pPr>
      <w:r>
        <w:t xml:space="preserve">Issue </w:t>
      </w:r>
      <w:r w:rsidR="003F6D7A">
        <w:t xml:space="preserve">1 - </w:t>
      </w:r>
      <w:r w:rsidR="0003138A" w:rsidRPr="00AD4738">
        <w:t>1.1 General aspects</w:t>
      </w:r>
    </w:p>
    <w:p w14:paraId="3EFD5FBD" w14:textId="77777777" w:rsidR="0003138A" w:rsidRDefault="0003138A" w:rsidP="00EF4B5D">
      <w:pPr>
        <w:pStyle w:val="ListParagraph"/>
        <w:numPr>
          <w:ilvl w:val="1"/>
          <w:numId w:val="15"/>
        </w:numPr>
        <w:spacing w:after="0" w:line="240" w:lineRule="auto"/>
        <w:ind w:left="1080" w:right="300"/>
        <w:rPr>
          <w:b/>
          <w:bCs/>
          <w:lang w:val="en-US"/>
        </w:rPr>
      </w:pPr>
      <w:r>
        <w:rPr>
          <w:b/>
          <w:bCs/>
          <w:lang w:val="en-US"/>
        </w:rPr>
        <w:t xml:space="preserve">1.1.1 Determination of slot for transmissions </w:t>
      </w:r>
      <w:r>
        <w:rPr>
          <w:b/>
          <w:bCs/>
          <w:highlight w:val="yellow"/>
          <w:lang w:val="en-US"/>
        </w:rPr>
        <w:t>[Prioritized]</w:t>
      </w:r>
    </w:p>
    <w:p w14:paraId="194EB1D3" w14:textId="77777777" w:rsidR="0003138A" w:rsidRDefault="0003138A" w:rsidP="00EF4B5D">
      <w:pPr>
        <w:pStyle w:val="ListParagraph"/>
        <w:numPr>
          <w:ilvl w:val="2"/>
          <w:numId w:val="15"/>
        </w:numPr>
        <w:spacing w:after="0" w:line="240" w:lineRule="auto"/>
        <w:ind w:left="1800" w:right="300"/>
        <w:rPr>
          <w:lang w:val="en-US"/>
        </w:rPr>
      </w:pPr>
      <w:r>
        <w:rPr>
          <w:lang w:val="en-US"/>
        </w:rPr>
        <w:t>Slot of the first sidelink transmission:</w:t>
      </w:r>
    </w:p>
    <w:p w14:paraId="7B08AF29" w14:textId="5D0E7193" w:rsidR="0003138A" w:rsidRDefault="0003138A" w:rsidP="00EF4B5D">
      <w:pPr>
        <w:pStyle w:val="ListParagraph"/>
        <w:numPr>
          <w:ilvl w:val="3"/>
          <w:numId w:val="15"/>
        </w:numPr>
        <w:spacing w:after="0" w:line="240" w:lineRule="auto"/>
        <w:ind w:left="2520" w:right="300"/>
        <w:rPr>
          <w:lang w:val="en-US"/>
        </w:rPr>
      </w:pPr>
      <w:r>
        <w:rPr>
          <w:lang w:val="en-US"/>
        </w:rPr>
        <w:t>Possible corrections to the agreed formula (i.e.,</w:t>
      </w:r>
      <m:oMath>
        <m:r>
          <m:rPr>
            <m:sty m:val="bi"/>
          </m:rPr>
          <w:rPr>
            <w:rFonts w:ascii="Cambria Math" w:hAnsi="Cambria Math" w:cs="Arial"/>
            <w:sz w:val="24"/>
          </w:rPr>
          <m:t xml:space="preserve"> </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DL</m:t>
            </m:r>
          </m:sub>
        </m:sSub>
        <m:r>
          <m:rPr>
            <m:sty m:val="bi"/>
          </m:rPr>
          <w:rPr>
            <w:rFonts w:ascii="Cambria Math" w:hAnsi="Cambria Math" w:cs="Arial"/>
            <w:sz w:val="24"/>
          </w:rPr>
          <m:t>-</m:t>
        </m:r>
        <m:f>
          <m:fPr>
            <m:ctrlPr>
              <w:rPr>
                <w:rFonts w:ascii="Cambria Math" w:hAnsi="Cambria Math" w:cs="Arial"/>
                <w:b/>
                <w:i/>
                <w:sz w:val="24"/>
              </w:rPr>
            </m:ctrlPr>
          </m:fPr>
          <m:num>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TA</m:t>
                </m:r>
              </m:sub>
            </m:sSub>
          </m:num>
          <m:den>
            <m:r>
              <m:rPr>
                <m:sty m:val="bi"/>
              </m:rPr>
              <w:rPr>
                <w:rFonts w:ascii="Cambria Math" w:hAnsi="Cambria Math" w:cs="Arial"/>
                <w:sz w:val="24"/>
              </w:rPr>
              <m:t>2</m:t>
            </m:r>
          </m:den>
        </m:f>
        <m:r>
          <m:rPr>
            <m:sty m:val="bi"/>
          </m:rPr>
          <w:rPr>
            <w:rFonts w:ascii="Cambria Math" w:hAnsi="Cambria Math" w:cs="Arial"/>
            <w:sz w:val="24"/>
          </w:rPr>
          <m:t>×</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lang w:val="en-US"/>
              </w:rPr>
              <m:t>C</m:t>
            </m:r>
          </m:sub>
        </m:sSub>
        <m:r>
          <m:rPr>
            <m:sty m:val="bi"/>
          </m:rPr>
          <w:rPr>
            <w:rFonts w:ascii="Cambria Math" w:hAnsi="Cambria Math" w:cs="Arial"/>
            <w:sz w:val="24"/>
          </w:rPr>
          <m:t>+m×</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slot</m:t>
            </m:r>
          </m:sub>
        </m:sSub>
      </m:oMath>
      <w:r>
        <w:rPr>
          <w:lang w:val="en-US"/>
        </w:rPr>
        <w:t>) for dynamic grant and configured grant type-2.</w:t>
      </w:r>
    </w:p>
    <w:p w14:paraId="1734AAFD" w14:textId="77777777" w:rsidR="0003138A" w:rsidRDefault="0003138A" w:rsidP="00EF4B5D">
      <w:pPr>
        <w:pStyle w:val="ListParagraph"/>
        <w:numPr>
          <w:ilvl w:val="3"/>
          <w:numId w:val="15"/>
        </w:numPr>
        <w:spacing w:after="0" w:line="240" w:lineRule="auto"/>
        <w:ind w:left="2520" w:right="300"/>
        <w:rPr>
          <w:lang w:val="en-US"/>
        </w:rPr>
      </w:pPr>
      <w:r>
        <w:rPr>
          <w:lang w:val="en-US"/>
        </w:rPr>
        <w:t>Determination for configured grant type-1.</w:t>
      </w:r>
    </w:p>
    <w:p w14:paraId="5A905F62" w14:textId="77777777" w:rsidR="0003138A" w:rsidRDefault="0003138A" w:rsidP="00EF4B5D">
      <w:pPr>
        <w:pStyle w:val="ListParagraph"/>
        <w:numPr>
          <w:ilvl w:val="3"/>
          <w:numId w:val="15"/>
        </w:numPr>
        <w:spacing w:after="0" w:line="240" w:lineRule="auto"/>
        <w:ind w:left="2520" w:right="300"/>
        <w:rPr>
          <w:lang w:val="en-US"/>
        </w:rPr>
      </w:pPr>
      <w:r>
        <w:rPr>
          <w:lang w:val="en-US"/>
        </w:rPr>
        <w:t>Determination for LTE Uu scheduling NR sidelink.</w:t>
      </w:r>
    </w:p>
    <w:p w14:paraId="6FA82AA2" w14:textId="65798466" w:rsidR="0003138A" w:rsidRDefault="0003138A" w:rsidP="00EF4B5D">
      <w:pPr>
        <w:pStyle w:val="ListParagraph"/>
        <w:numPr>
          <w:ilvl w:val="2"/>
          <w:numId w:val="15"/>
        </w:numPr>
        <w:spacing w:after="0" w:line="240" w:lineRule="auto"/>
        <w:ind w:left="1800" w:right="300"/>
        <w:rPr>
          <w:lang w:val="en-US"/>
        </w:rPr>
      </w:pPr>
      <w:r>
        <w:rPr>
          <w:lang w:val="en-US"/>
        </w:rPr>
        <w:t>Slot of the uplink transmission for SL HARQ-ACK reporting to the gNB.</w:t>
      </w:r>
    </w:p>
    <w:p w14:paraId="01D92B94" w14:textId="34CBC295" w:rsidR="00C46062" w:rsidRDefault="00C46062" w:rsidP="00C46062">
      <w:pPr>
        <w:spacing w:after="0" w:line="240" w:lineRule="auto"/>
        <w:ind w:right="300"/>
        <w:rPr>
          <w:lang w:val="en-US"/>
        </w:rPr>
      </w:pPr>
    </w:p>
    <w:p w14:paraId="318E829B" w14:textId="77777777" w:rsidR="005A4ED8" w:rsidRDefault="005A4ED8" w:rsidP="00AD4738">
      <w:pPr>
        <w:pStyle w:val="Heading3"/>
      </w:pPr>
      <w:r>
        <w:t>Q1: Possible corrections to the agreed formula for dynamic grant and configured grant type-2</w:t>
      </w:r>
      <w:r w:rsidRPr="005A4ED8">
        <w:t xml:space="preserve"> </w:t>
      </w:r>
    </w:p>
    <w:p w14:paraId="052B9AC5" w14:textId="170EE5B1" w:rsidR="005A4ED8" w:rsidRDefault="005A4ED8" w:rsidP="005A4ED8">
      <w:pPr>
        <w:rPr>
          <w:rFonts w:ascii="Calibri" w:eastAsia="SimSun" w:hAnsi="Calibri" w:cs="Calibri"/>
          <w:lang w:val="en-US" w:eastAsia="zh-CN"/>
        </w:rPr>
      </w:pPr>
      <w:r>
        <w:rPr>
          <w:rFonts w:ascii="Calibri" w:hAnsi="Calibri"/>
          <w:lang w:eastAsia="zh-CN"/>
        </w:rPr>
        <w:t>Whether a correction to the existing agreements is necessary or not. If considered necessary, the correction itself.</w:t>
      </w:r>
    </w:p>
    <w:p w14:paraId="2312A450" w14:textId="77777777" w:rsidR="000D204B" w:rsidRDefault="000D204B" w:rsidP="000D204B">
      <w:pPr>
        <w:ind w:right="300"/>
        <w:rPr>
          <w:rFonts w:ascii="Calibri" w:eastAsia="SimSun" w:hAnsi="Calibri" w:cs="Calibri"/>
          <w:lang w:val="en-US" w:eastAsia="ja-JP"/>
        </w:rPr>
      </w:pPr>
      <w:r>
        <w:rPr>
          <w:rFonts w:ascii="Calibri" w:hAnsi="Calibri"/>
          <w:b/>
          <w:bCs/>
          <w:highlight w:val="yellow"/>
          <w:lang w:val="en-US" w:eastAsia="ja-JP"/>
        </w:rPr>
        <w:t>Proposal</w:t>
      </w:r>
      <w:r>
        <w:rPr>
          <w:rFonts w:ascii="Calibri" w:hAnsi="Calibri"/>
          <w:lang w:val="en-US" w:eastAsia="ja-JP"/>
        </w:rPr>
        <w:t xml:space="preserve">: confirm the working assumption from RAN1#99 with the following update to the formula: </w:t>
      </w:r>
      <m:oMath>
        <m:sSub>
          <m:sSubPr>
            <m:ctrlPr>
              <w:rPr>
                <w:rFonts w:ascii="Cambria Math" w:eastAsia="SimSun" w:hAnsi="Cambria Math" w:cs="Calibri"/>
                <w:i/>
                <w:iCs/>
                <w:lang w:eastAsia="ja-JP"/>
              </w:rPr>
            </m:ctrlPr>
          </m:sSubPr>
          <m:e>
            <m:r>
              <w:rPr>
                <w:rFonts w:ascii="Cambria Math" w:hAnsi="Cambria Math"/>
                <w:lang w:val="en-US" w:eastAsia="ja-JP"/>
              </w:rPr>
              <m:t>T</m:t>
            </m:r>
          </m:e>
          <m:sub>
            <m:r>
              <w:rPr>
                <w:rFonts w:ascii="Cambria Math" w:hAnsi="Cambria Math"/>
                <w:lang w:val="en-US" w:eastAsia="ja-JP"/>
              </w:rPr>
              <m:t>DL</m:t>
            </m:r>
          </m:sub>
        </m:sSub>
        <m:r>
          <w:rPr>
            <w:rFonts w:ascii="Cambria Math" w:hAnsi="Cambria Math"/>
            <w:lang w:val="en-US" w:eastAsia="ja-JP"/>
          </w:rPr>
          <m:t>-</m:t>
        </m:r>
        <m:f>
          <m:fPr>
            <m:ctrlPr>
              <w:rPr>
                <w:rFonts w:ascii="Cambria Math" w:eastAsia="SimSun" w:hAnsi="Cambria Math" w:cs="Calibri"/>
                <w:i/>
                <w:iCs/>
                <w:lang w:eastAsia="ja-JP"/>
              </w:rPr>
            </m:ctrlPr>
          </m:fPr>
          <m:num>
            <m:sSub>
              <m:sSubPr>
                <m:ctrlPr>
                  <w:rPr>
                    <w:rFonts w:ascii="Cambria Math" w:eastAsia="SimSun" w:hAnsi="Cambria Math" w:cs="Calibri"/>
                    <w:i/>
                    <w:iCs/>
                    <w:lang w:eastAsia="ja-JP"/>
                  </w:rPr>
                </m:ctrlPr>
              </m:sSubPr>
              <m:e>
                <m:r>
                  <w:rPr>
                    <w:rFonts w:ascii="Cambria Math" w:hAnsi="Cambria Math"/>
                    <w:lang w:val="en-US" w:eastAsia="ja-JP"/>
                  </w:rPr>
                  <m:t>T</m:t>
                </m:r>
              </m:e>
              <m:sub>
                <m:r>
                  <w:rPr>
                    <w:rFonts w:ascii="Cambria Math" w:hAnsi="Cambria Math"/>
                    <w:lang w:val="en-US" w:eastAsia="ja-JP"/>
                  </w:rPr>
                  <m:t>TA</m:t>
                </m:r>
              </m:sub>
            </m:sSub>
          </m:num>
          <m:den>
            <m:r>
              <w:rPr>
                <w:rFonts w:ascii="Cambria Math" w:hAnsi="Cambria Math"/>
                <w:lang w:val="en-US" w:eastAsia="ja-JP"/>
              </w:rPr>
              <m:t>2</m:t>
            </m:r>
          </m:den>
        </m:f>
        <m:r>
          <w:rPr>
            <w:rFonts w:ascii="Cambria Math" w:hAnsi="Cambria Math"/>
            <w:lang w:val="en-US" w:eastAsia="ja-JP"/>
          </w:rPr>
          <m:t>+m×</m:t>
        </m:r>
        <m:sSub>
          <m:sSubPr>
            <m:ctrlPr>
              <w:rPr>
                <w:rFonts w:ascii="Cambria Math" w:eastAsia="SimSun" w:hAnsi="Cambria Math" w:cs="Calibri"/>
                <w:i/>
                <w:iCs/>
                <w:lang w:eastAsia="ja-JP"/>
              </w:rPr>
            </m:ctrlPr>
          </m:sSubPr>
          <m:e>
            <m:r>
              <w:rPr>
                <w:rFonts w:ascii="Cambria Math" w:hAnsi="Cambria Math"/>
                <w:lang w:val="en-US" w:eastAsia="ja-JP"/>
              </w:rPr>
              <m:t>T</m:t>
            </m:r>
          </m:e>
          <m:sub>
            <m:r>
              <w:rPr>
                <w:rFonts w:ascii="Cambria Math" w:hAnsi="Cambria Math"/>
                <w:lang w:val="en-US" w:eastAsia="ja-JP"/>
              </w:rPr>
              <m:t>slot</m:t>
            </m:r>
          </m:sub>
        </m:sSub>
      </m:oMath>
    </w:p>
    <w:p w14:paraId="4AE6BAA4" w14:textId="77777777" w:rsidR="000D204B" w:rsidRDefault="000D204B" w:rsidP="000D204B">
      <w:pPr>
        <w:ind w:right="300"/>
        <w:rPr>
          <w:rFonts w:ascii="Calibri" w:hAnsi="Calibri"/>
          <w:lang w:val="en-US" w:eastAsia="ja-JP"/>
        </w:rPr>
      </w:pPr>
      <w:r>
        <w:rPr>
          <w:rFonts w:ascii="Calibri" w:hAnsi="Calibri"/>
          <w:lang w:val="en-US" w:eastAsia="ja-JP"/>
        </w:rPr>
        <w:t>For reference, the working assumption is the following one:</w:t>
      </w:r>
    </w:p>
    <w:p w14:paraId="109312E7" w14:textId="77777777" w:rsidR="000D204B" w:rsidRDefault="000D204B" w:rsidP="000D204B">
      <w:pPr>
        <w:spacing w:line="252" w:lineRule="auto"/>
        <w:rPr>
          <w:rFonts w:ascii="Times" w:hAnsi="Times" w:cs="Times"/>
          <w:sz w:val="20"/>
          <w:szCs w:val="20"/>
          <w:highlight w:val="green"/>
          <w:lang w:eastAsia="ja-JP"/>
        </w:rPr>
      </w:pPr>
      <w:r>
        <w:rPr>
          <w:rFonts w:ascii="Calibri" w:hAnsi="Calibri"/>
          <w:highlight w:val="green"/>
          <w:lang w:eastAsia="ja-JP"/>
        </w:rPr>
        <w:t>Agreements:</w:t>
      </w:r>
    </w:p>
    <w:p w14:paraId="7548DBEA" w14:textId="77777777" w:rsidR="000D204B" w:rsidRDefault="000D204B" w:rsidP="00EF4B5D">
      <w:pPr>
        <w:numPr>
          <w:ilvl w:val="0"/>
          <w:numId w:val="16"/>
        </w:numPr>
        <w:spacing w:after="0" w:line="252" w:lineRule="auto"/>
        <w:rPr>
          <w:rFonts w:ascii="Calibri" w:hAnsi="Calibri" w:cs="Calibri"/>
          <w:lang w:val="x-none" w:eastAsia="ja-JP"/>
        </w:rPr>
      </w:pPr>
      <w:r>
        <w:rPr>
          <w:rFonts w:ascii="Calibri" w:hAnsi="Calibri"/>
          <w:lang w:val="x-none" w:eastAsia="ja-JP"/>
        </w:rPr>
        <w:t xml:space="preserve">For dynamic grant and configured grant type-2, the slot of the first sidelink transmission is the </w:t>
      </w:r>
      <w:r>
        <w:rPr>
          <w:rFonts w:ascii="Calibri" w:hAnsi="Calibri"/>
          <w:lang w:val="en-US" w:eastAsia="ja-JP"/>
        </w:rPr>
        <w:t xml:space="preserve">in the first </w:t>
      </w:r>
      <w:r>
        <w:rPr>
          <w:rFonts w:ascii="Calibri" w:hAnsi="Calibri"/>
          <w:lang w:val="x-none" w:eastAsia="ja-JP"/>
        </w:rPr>
        <w:t xml:space="preserve">SL slot </w:t>
      </w:r>
      <w:r>
        <w:rPr>
          <w:rFonts w:ascii="Calibri" w:hAnsi="Calibri"/>
          <w:lang w:val="en-US" w:eastAsia="ja-JP"/>
        </w:rPr>
        <w:t xml:space="preserve">of the corresponding resource pool </w:t>
      </w:r>
      <w:r>
        <w:rPr>
          <w:rFonts w:ascii="Calibri" w:hAnsi="Calibri"/>
          <w:lang w:val="x-none" w:eastAsia="ja-JP"/>
        </w:rPr>
        <w:t>that starts not earlier than (</w:t>
      </w:r>
      <w:r>
        <w:rPr>
          <w:rFonts w:ascii="Calibri" w:hAnsi="Calibri"/>
          <w:highlight w:val="darkYellow"/>
          <w:lang w:val="x-none" w:eastAsia="ja-JP"/>
        </w:rPr>
        <w:t>working assumption</w:t>
      </w:r>
      <w:r>
        <w:rPr>
          <w:rFonts w:ascii="Calibri" w:hAnsi="Calibri"/>
          <w:lang w:val="x-none" w:eastAsia="ja-JP"/>
        </w:rPr>
        <w:t xml:space="preserve"> for the formular) </w:t>
      </w:r>
      <m:oMath>
        <m:sSub>
          <m:sSubPr>
            <m:ctrlPr>
              <w:rPr>
                <w:rFonts w:ascii="Cambria Math" w:eastAsia="SimSun" w:hAnsi="Cambria Math" w:cs="Calibri"/>
                <w:b/>
                <w:bCs/>
                <w:i/>
                <w:iCs/>
                <w:sz w:val="24"/>
                <w:szCs w:val="24"/>
                <w:lang w:eastAsia="ja-JP"/>
              </w:rPr>
            </m:ctrlPr>
          </m:sSubPr>
          <m:e>
            <m:r>
              <m:rPr>
                <m:sty m:val="bi"/>
              </m:rPr>
              <w:rPr>
                <w:rFonts w:ascii="Cambria Math" w:hAnsi="Cambria Math"/>
                <w:lang w:val="x-none" w:eastAsia="ja-JP"/>
              </w:rPr>
              <m:t>T</m:t>
            </m:r>
          </m:e>
          <m:sub>
            <m:r>
              <m:rPr>
                <m:nor/>
              </m:rPr>
              <w:rPr>
                <w:rFonts w:ascii="Calibri" w:hAnsi="Calibri"/>
                <w:b/>
                <w:bCs/>
                <w:lang w:val="x-none" w:eastAsia="ja-JP"/>
              </w:rPr>
              <m:t>DL</m:t>
            </m:r>
          </m:sub>
        </m:sSub>
        <m:r>
          <m:rPr>
            <m:sty m:val="bi"/>
          </m:rPr>
          <w:rPr>
            <w:rFonts w:ascii="Cambria Math" w:hAnsi="Cambria Math"/>
            <w:lang w:val="x-none" w:eastAsia="ja-JP"/>
          </w:rPr>
          <m:t>-</m:t>
        </m:r>
        <m:f>
          <m:fPr>
            <m:ctrlPr>
              <w:rPr>
                <w:rFonts w:ascii="Cambria Math" w:eastAsia="SimSun" w:hAnsi="Cambria Math" w:cs="Calibri"/>
                <w:b/>
                <w:bCs/>
                <w:i/>
                <w:iCs/>
                <w:sz w:val="24"/>
                <w:szCs w:val="24"/>
                <w:lang w:eastAsia="ja-JP"/>
              </w:rPr>
            </m:ctrlPr>
          </m:fPr>
          <m:num>
            <m:sSub>
              <m:sSubPr>
                <m:ctrlPr>
                  <w:rPr>
                    <w:rFonts w:ascii="Cambria Math" w:eastAsia="SimSun" w:hAnsi="Cambria Math" w:cs="Calibri"/>
                    <w:b/>
                    <w:bCs/>
                    <w:i/>
                    <w:iCs/>
                    <w:sz w:val="24"/>
                    <w:szCs w:val="24"/>
                    <w:lang w:eastAsia="ja-JP"/>
                  </w:rPr>
                </m:ctrlPr>
              </m:sSubPr>
              <m:e>
                <m:r>
                  <m:rPr>
                    <m:sty m:val="bi"/>
                  </m:rPr>
                  <w:rPr>
                    <w:rFonts w:ascii="Cambria Math" w:hAnsi="Cambria Math"/>
                    <w:lang w:val="x-none" w:eastAsia="ja-JP"/>
                  </w:rPr>
                  <m:t>T</m:t>
                </m:r>
              </m:e>
              <m:sub>
                <m:r>
                  <m:rPr>
                    <m:nor/>
                  </m:rPr>
                  <w:rPr>
                    <w:rFonts w:ascii="Calibri" w:hAnsi="Calibri"/>
                    <w:b/>
                    <w:bCs/>
                    <w:lang w:val="x-none" w:eastAsia="ja-JP"/>
                  </w:rPr>
                  <m:t>TA</m:t>
                </m:r>
              </m:sub>
            </m:sSub>
          </m:num>
          <m:den>
            <m:r>
              <m:rPr>
                <m:sty m:val="bi"/>
              </m:rPr>
              <w:rPr>
                <w:rFonts w:ascii="Cambria Math" w:hAnsi="Cambria Math"/>
                <w:lang w:val="x-none" w:eastAsia="ja-JP"/>
              </w:rPr>
              <m:t>2</m:t>
            </m:r>
          </m:den>
        </m:f>
        <m:r>
          <m:rPr>
            <m:sty m:val="bi"/>
          </m:rPr>
          <w:rPr>
            <w:rFonts w:ascii="Cambria Math" w:hAnsi="Cambria Math"/>
            <w:lang w:val="x-none" w:eastAsia="ja-JP"/>
          </w:rPr>
          <m:t>×</m:t>
        </m:r>
        <m:sSub>
          <m:sSubPr>
            <m:ctrlPr>
              <w:rPr>
                <w:rFonts w:ascii="Cambria Math" w:eastAsia="SimSun" w:hAnsi="Cambria Math" w:cs="Calibri"/>
                <w:b/>
                <w:bCs/>
                <w:i/>
                <w:iCs/>
                <w:sz w:val="24"/>
                <w:szCs w:val="24"/>
                <w:lang w:eastAsia="ja-JP"/>
              </w:rPr>
            </m:ctrlPr>
          </m:sSubPr>
          <m:e>
            <m:r>
              <m:rPr>
                <m:sty m:val="bi"/>
              </m:rPr>
              <w:rPr>
                <w:rFonts w:ascii="Cambria Math" w:hAnsi="Cambria Math"/>
                <w:lang w:val="x-none" w:eastAsia="ja-JP"/>
              </w:rPr>
              <m:t>T</m:t>
            </m:r>
          </m:e>
          <m:sub>
            <m:r>
              <m:rPr>
                <m:nor/>
              </m:rPr>
              <w:rPr>
                <w:rFonts w:ascii="Calibri" w:hAnsi="Calibri"/>
                <w:b/>
                <w:bCs/>
                <w:lang w:val="en-US" w:eastAsia="ja-JP"/>
              </w:rPr>
              <m:t>C</m:t>
            </m:r>
          </m:sub>
        </m:sSub>
        <m:r>
          <m:rPr>
            <m:sty m:val="bi"/>
          </m:rPr>
          <w:rPr>
            <w:rFonts w:ascii="Cambria Math" w:hAnsi="Cambria Math"/>
            <w:lang w:val="x-none" w:eastAsia="ja-JP"/>
          </w:rPr>
          <m:t>+m×</m:t>
        </m:r>
        <m:sSub>
          <m:sSubPr>
            <m:ctrlPr>
              <w:rPr>
                <w:rFonts w:ascii="Cambria Math" w:eastAsia="SimSun" w:hAnsi="Cambria Math" w:cs="Calibri"/>
                <w:b/>
                <w:bCs/>
                <w:i/>
                <w:iCs/>
                <w:sz w:val="24"/>
                <w:szCs w:val="24"/>
                <w:lang w:eastAsia="ja-JP"/>
              </w:rPr>
            </m:ctrlPr>
          </m:sSubPr>
          <m:e>
            <m:r>
              <m:rPr>
                <m:sty m:val="bi"/>
              </m:rPr>
              <w:rPr>
                <w:rFonts w:ascii="Cambria Math" w:hAnsi="Cambria Math"/>
                <w:lang w:val="x-none" w:eastAsia="ja-JP"/>
              </w:rPr>
              <m:t>T</m:t>
            </m:r>
          </m:e>
          <m:sub>
            <m:r>
              <m:rPr>
                <m:nor/>
              </m:rPr>
              <w:rPr>
                <w:rFonts w:ascii="Calibri" w:hAnsi="Calibri"/>
                <w:b/>
                <w:bCs/>
                <w:lang w:val="x-none" w:eastAsia="ja-JP"/>
              </w:rPr>
              <m:t>slot</m:t>
            </m:r>
          </m:sub>
        </m:sSub>
      </m:oMath>
      <w:r>
        <w:rPr>
          <w:rFonts w:ascii="Calibri" w:hAnsi="Calibri"/>
          <w:lang w:val="x-none" w:eastAsia="ja-JP"/>
        </w:rPr>
        <w:t> where T</w:t>
      </w:r>
      <w:r>
        <w:rPr>
          <w:rFonts w:ascii="Calibri" w:hAnsi="Calibri"/>
          <w:vertAlign w:val="subscript"/>
          <w:lang w:val="x-none" w:eastAsia="ja-JP"/>
        </w:rPr>
        <w:t>DL</w:t>
      </w:r>
      <w:r>
        <w:rPr>
          <w:rFonts w:ascii="Calibri" w:hAnsi="Calibri"/>
          <w:lang w:val="x-none" w:eastAsia="ja-JP"/>
        </w:rPr>
        <w:t xml:space="preserve"> is </w:t>
      </w:r>
      <w:r>
        <w:rPr>
          <w:rFonts w:ascii="Calibri" w:hAnsi="Calibri"/>
          <w:lang w:val="en-US" w:eastAsia="ja-JP"/>
        </w:rPr>
        <w:t>starting time of the slot carrying the corresponding DCI, T</w:t>
      </w:r>
      <w:r>
        <w:rPr>
          <w:rFonts w:ascii="Calibri" w:hAnsi="Calibri"/>
          <w:vertAlign w:val="subscript"/>
          <w:lang w:val="x-none" w:eastAsia="ja-JP"/>
        </w:rPr>
        <w:t>TA</w:t>
      </w:r>
      <w:r>
        <w:rPr>
          <w:rFonts w:ascii="Calibri" w:hAnsi="Calibri"/>
          <w:lang w:val="x-none" w:eastAsia="ja-JP"/>
        </w:rPr>
        <w:t xml:space="preserve"> is the timing advance value and </w:t>
      </w:r>
      <w:r>
        <w:rPr>
          <w:rFonts w:ascii="Calibri" w:hAnsi="Calibri"/>
          <w:i/>
          <w:iCs/>
          <w:lang w:val="x-none" w:eastAsia="ja-JP"/>
        </w:rPr>
        <w:t>m</w:t>
      </w:r>
      <w:r>
        <w:rPr>
          <w:rFonts w:ascii="Calibri" w:hAnsi="Calibri"/>
          <w:lang w:val="x-none" w:eastAsia="ja-JP"/>
        </w:rPr>
        <w:t xml:space="preserve"> is the slot offset </w:t>
      </w:r>
      <w:r>
        <w:rPr>
          <w:rFonts w:ascii="Calibri" w:hAnsi="Calibri"/>
          <w:lang w:val="en-US" w:eastAsia="ja-JP"/>
        </w:rPr>
        <w:t xml:space="preserve">(based on the SL numerology) </w:t>
      </w:r>
      <w:r>
        <w:rPr>
          <w:rFonts w:ascii="Calibri" w:hAnsi="Calibri"/>
          <w:lang w:val="x-none" w:eastAsia="ja-JP"/>
        </w:rPr>
        <w:t xml:space="preserve">between DCI and the first sidelink transmission scheduled by DCI, </w:t>
      </w:r>
      <w:r>
        <w:rPr>
          <w:rFonts w:ascii="Calibri" w:hAnsi="Calibri"/>
          <w:lang w:val="en-US" w:eastAsia="ja-JP"/>
        </w:rPr>
        <w:t>T</w:t>
      </w:r>
      <w:r>
        <w:rPr>
          <w:rFonts w:ascii="Calibri" w:hAnsi="Calibri"/>
          <w:vertAlign w:val="subscript"/>
          <w:lang w:val="en-US" w:eastAsia="ja-JP"/>
        </w:rPr>
        <w:t>c</w:t>
      </w:r>
      <w:r>
        <w:rPr>
          <w:rFonts w:ascii="Calibri" w:hAnsi="Calibri"/>
          <w:lang w:val="en-US" w:eastAsia="ja-JP"/>
        </w:rPr>
        <w:t xml:space="preserve"> is as defined in 38.211, </w:t>
      </w:r>
      <w:r>
        <w:rPr>
          <w:rFonts w:ascii="Calibri" w:hAnsi="Calibri"/>
          <w:lang w:val="x-none" w:eastAsia="ja-JP"/>
        </w:rPr>
        <w:t>and T</w:t>
      </w:r>
      <w:r>
        <w:rPr>
          <w:rFonts w:ascii="Calibri" w:hAnsi="Calibri"/>
          <w:vertAlign w:val="subscript"/>
          <w:lang w:val="x-none" w:eastAsia="ja-JP"/>
        </w:rPr>
        <w:t>slot</w:t>
      </w:r>
      <w:r>
        <w:rPr>
          <w:rFonts w:ascii="Calibri" w:hAnsi="Calibri"/>
          <w:lang w:val="x-none" w:eastAsia="ja-JP"/>
        </w:rPr>
        <w:t xml:space="preserve"> is the SL slot duration. </w:t>
      </w:r>
    </w:p>
    <w:p w14:paraId="0729A276" w14:textId="77777777" w:rsidR="000D204B" w:rsidRDefault="000D204B" w:rsidP="00EF4B5D">
      <w:pPr>
        <w:numPr>
          <w:ilvl w:val="1"/>
          <w:numId w:val="16"/>
        </w:numPr>
        <w:spacing w:after="0" w:line="252" w:lineRule="auto"/>
        <w:rPr>
          <w:rFonts w:ascii="Calibri" w:hAnsi="Calibri"/>
          <w:lang w:val="x-none" w:eastAsia="ja-JP"/>
        </w:rPr>
      </w:pPr>
      <w:r>
        <w:rPr>
          <w:rFonts w:ascii="Calibri" w:hAnsi="Calibri"/>
          <w:lang w:val="x-none" w:eastAsia="ja-JP"/>
        </w:rPr>
        <w:t>FFS the case of CG type 1</w:t>
      </w:r>
    </w:p>
    <w:p w14:paraId="634A457B" w14:textId="77777777" w:rsidR="000D204B" w:rsidRDefault="000D204B" w:rsidP="00EF4B5D">
      <w:pPr>
        <w:numPr>
          <w:ilvl w:val="0"/>
          <w:numId w:val="16"/>
        </w:numPr>
        <w:spacing w:after="0" w:line="252" w:lineRule="auto"/>
        <w:rPr>
          <w:rFonts w:ascii="Calibri" w:hAnsi="Calibri"/>
          <w:lang w:val="x-none" w:eastAsia="ja-JP"/>
        </w:rPr>
      </w:pPr>
      <w:r>
        <w:rPr>
          <w:rFonts w:ascii="Calibri" w:hAnsi="Calibri"/>
          <w:lang w:val="x-none" w:eastAsia="ja-JP"/>
        </w:rPr>
        <w:t>FFS the application of the above formula to cross-RAT scheduling.</w:t>
      </w:r>
    </w:p>
    <w:p w14:paraId="65CE2D16" w14:textId="0B99EB19" w:rsidR="0075345C" w:rsidRPr="00EF4B5D" w:rsidRDefault="0075345C" w:rsidP="00EF4B5D">
      <w:pPr>
        <w:spacing w:line="256" w:lineRule="auto"/>
        <w:rPr>
          <w:rFonts w:cs="Arial"/>
          <w:bCs/>
          <w:lang w:eastAsia="ja-JP"/>
        </w:rPr>
      </w:pPr>
    </w:p>
    <w:p w14:paraId="33238F7A" w14:textId="77777777" w:rsidR="0026223B" w:rsidRDefault="0026223B" w:rsidP="00AD4738">
      <w:pPr>
        <w:pStyle w:val="Heading3"/>
        <w:rPr>
          <w:rFonts w:eastAsia="SimSun" w:cs="Calibri"/>
          <w:lang w:val="en-US"/>
        </w:rPr>
      </w:pPr>
      <w:r>
        <w:t>Q2: Determination of the slot of the first sidelink transmission for configured grant type-1</w:t>
      </w:r>
    </w:p>
    <w:p w14:paraId="5DB4414C" w14:textId="77777777" w:rsidR="000D204B" w:rsidRDefault="000D204B" w:rsidP="000D204B">
      <w:pPr>
        <w:ind w:right="300"/>
        <w:rPr>
          <w:rFonts w:ascii="Calibri" w:eastAsia="SimSun" w:hAnsi="Calibri" w:cs="Calibri"/>
          <w:lang w:val="en-US" w:eastAsia="ja-JP"/>
        </w:rPr>
      </w:pPr>
      <w:r>
        <w:rPr>
          <w:rFonts w:ascii="Calibri" w:hAnsi="Calibri"/>
          <w:b/>
          <w:bCs/>
          <w:highlight w:val="yellow"/>
          <w:lang w:val="en-US" w:eastAsia="ja-JP"/>
        </w:rPr>
        <w:lastRenderedPageBreak/>
        <w:t>Proposal</w:t>
      </w:r>
      <w:r>
        <w:rPr>
          <w:rFonts w:ascii="Calibri" w:hAnsi="Calibri"/>
          <w:lang w:val="en-US" w:eastAsia="ja-JP"/>
        </w:rPr>
        <w:t>: The slot of the first sidelink transmissions of CG type-1 is the first SL slot of the corresponding resource pool that starts not earlier than T</w:t>
      </w:r>
      <w:r>
        <w:rPr>
          <w:rFonts w:ascii="Calibri" w:hAnsi="Calibri"/>
          <w:vertAlign w:val="subscript"/>
          <w:lang w:val="en-US" w:eastAsia="ja-JP"/>
        </w:rPr>
        <w:t>offset</w:t>
      </w:r>
      <w:r>
        <w:rPr>
          <w:rFonts w:ascii="Calibri" w:hAnsi="Calibri"/>
          <w:lang w:val="en-US" w:eastAsia="ja-JP"/>
        </w:rPr>
        <w:t xml:space="preserve"> = timeDomainOffset × numberOfSymbolsPerSlot – T</w:t>
      </w:r>
      <w:r>
        <w:rPr>
          <w:rFonts w:ascii="Calibri" w:hAnsi="Calibri"/>
          <w:vertAlign w:val="subscript"/>
          <w:lang w:val="en-US" w:eastAsia="ja-JP"/>
        </w:rPr>
        <w:t>TA</w:t>
      </w:r>
      <w:r>
        <w:rPr>
          <w:rFonts w:ascii="Calibri" w:hAnsi="Calibri"/>
          <w:lang w:val="en-US" w:eastAsia="ja-JP"/>
        </w:rPr>
        <w:t xml:space="preserve"> / 2 + N</w:t>
      </w:r>
      <w:r>
        <w:rPr>
          <w:rFonts w:ascii="Calibri" w:hAnsi="Calibri"/>
          <w:vertAlign w:val="subscript"/>
          <w:lang w:val="en-US" w:eastAsia="ja-JP"/>
        </w:rPr>
        <w:t>0</w:t>
      </w:r>
      <w:r>
        <w:rPr>
          <w:rFonts w:ascii="Calibri" w:hAnsi="Calibri"/>
          <w:lang w:val="en-US" w:eastAsia="ja-JP"/>
        </w:rPr>
        <w:t xml:space="preserve"> × periodicity, where</w:t>
      </w:r>
    </w:p>
    <w:p w14:paraId="6739DD25" w14:textId="77777777" w:rsidR="000D204B" w:rsidRDefault="000D204B" w:rsidP="00EF4B5D">
      <w:pPr>
        <w:numPr>
          <w:ilvl w:val="0"/>
          <w:numId w:val="17"/>
        </w:numPr>
        <w:spacing w:after="0" w:line="252" w:lineRule="auto"/>
        <w:ind w:right="300"/>
        <w:rPr>
          <w:rFonts w:ascii="Calibri" w:hAnsi="Calibri"/>
          <w:lang w:val="x-none" w:eastAsia="ja-JP"/>
        </w:rPr>
      </w:pPr>
      <w:r>
        <w:rPr>
          <w:rFonts w:ascii="Calibri" w:hAnsi="Calibri"/>
          <w:lang w:val="x-none" w:eastAsia="ja-JP"/>
        </w:rPr>
        <w:t xml:space="preserve">timeDomainOffset to DL SFN=0 and periodicity in physical symbol is of SL numerology </w:t>
      </w:r>
    </w:p>
    <w:p w14:paraId="31E5BACB" w14:textId="77777777" w:rsidR="000D204B" w:rsidRDefault="000D204B" w:rsidP="00EF4B5D">
      <w:pPr>
        <w:numPr>
          <w:ilvl w:val="0"/>
          <w:numId w:val="17"/>
        </w:numPr>
        <w:spacing w:after="0" w:line="252" w:lineRule="auto"/>
        <w:ind w:right="300"/>
        <w:rPr>
          <w:rFonts w:ascii="Calibri" w:hAnsi="Calibri"/>
          <w:lang w:val="x-none" w:eastAsia="ja-JP"/>
        </w:rPr>
      </w:pPr>
      <w:r>
        <w:rPr>
          <w:rFonts w:ascii="Calibri" w:hAnsi="Calibri"/>
          <w:lang w:val="x-none" w:eastAsia="ja-JP"/>
        </w:rPr>
        <w:t xml:space="preserve">numberOfSymbolsPerSlot is the number of SL symbols per SL slot </w:t>
      </w:r>
    </w:p>
    <w:p w14:paraId="553BDC3B" w14:textId="77777777" w:rsidR="000D204B" w:rsidRDefault="000D204B" w:rsidP="00EF4B5D">
      <w:pPr>
        <w:numPr>
          <w:ilvl w:val="0"/>
          <w:numId w:val="17"/>
        </w:numPr>
        <w:spacing w:after="0" w:line="252" w:lineRule="auto"/>
        <w:ind w:right="300"/>
        <w:rPr>
          <w:rFonts w:ascii="Calibri" w:hAnsi="Calibri"/>
          <w:lang w:val="x-none" w:eastAsia="ja-JP"/>
        </w:rPr>
      </w:pPr>
      <w:r>
        <w:rPr>
          <w:rFonts w:ascii="Calibri" w:hAnsi="Calibri"/>
          <w:lang w:val="x-none" w:eastAsia="ja-JP"/>
        </w:rPr>
        <w:t>T</w:t>
      </w:r>
      <w:r>
        <w:rPr>
          <w:rFonts w:ascii="Calibri" w:hAnsi="Calibri"/>
          <w:vertAlign w:val="subscript"/>
          <w:lang w:val="x-none" w:eastAsia="ja-JP"/>
        </w:rPr>
        <w:t>TA</w:t>
      </w:r>
      <w:r>
        <w:rPr>
          <w:rFonts w:ascii="Calibri" w:hAnsi="Calibri"/>
          <w:lang w:val="x-none" w:eastAsia="ja-JP"/>
        </w:rPr>
        <w:t xml:space="preserve"> is the timing advance value </w:t>
      </w:r>
    </w:p>
    <w:p w14:paraId="747C9F25" w14:textId="77777777" w:rsidR="000D204B" w:rsidRDefault="000D204B" w:rsidP="00EF4B5D">
      <w:pPr>
        <w:numPr>
          <w:ilvl w:val="0"/>
          <w:numId w:val="17"/>
        </w:numPr>
        <w:spacing w:after="0" w:line="252" w:lineRule="auto"/>
        <w:ind w:right="300"/>
        <w:rPr>
          <w:rFonts w:ascii="Calibri" w:hAnsi="Calibri"/>
          <w:lang w:val="en-US" w:eastAsia="ja-JP"/>
        </w:rPr>
      </w:pPr>
      <w:r>
        <w:rPr>
          <w:rFonts w:ascii="Calibri" w:hAnsi="Calibri"/>
          <w:lang w:val="x-none" w:eastAsia="ja-JP"/>
        </w:rPr>
        <w:t>N</w:t>
      </w:r>
      <w:r>
        <w:rPr>
          <w:rFonts w:ascii="Calibri" w:hAnsi="Calibri"/>
          <w:vertAlign w:val="subscript"/>
          <w:lang w:val="x-none" w:eastAsia="ja-JP"/>
        </w:rPr>
        <w:t>0</w:t>
      </w:r>
      <w:r>
        <w:rPr>
          <w:rFonts w:ascii="Calibri" w:hAnsi="Calibri"/>
          <w:lang w:val="x-none" w:eastAsia="ja-JP"/>
        </w:rPr>
        <w:t xml:space="preserve"> is the smallest integer satisfying that T</w:t>
      </w:r>
      <w:r>
        <w:rPr>
          <w:rFonts w:ascii="Calibri" w:hAnsi="Calibri"/>
          <w:vertAlign w:val="subscript"/>
          <w:lang w:val="x-none" w:eastAsia="ja-JP"/>
        </w:rPr>
        <w:t>offset</w:t>
      </w:r>
      <w:r>
        <w:rPr>
          <w:rFonts w:ascii="Calibri" w:hAnsi="Calibri"/>
          <w:lang w:val="x-none" w:eastAsia="ja-JP"/>
        </w:rPr>
        <w:t xml:space="preserve"> is not earlier than the timing of receiving RRC signaling for configured grant type 1.</w:t>
      </w:r>
    </w:p>
    <w:p w14:paraId="6BF234DE" w14:textId="77777777" w:rsidR="000D204B" w:rsidRDefault="000D204B" w:rsidP="00EF4B5D">
      <w:pPr>
        <w:numPr>
          <w:ilvl w:val="0"/>
          <w:numId w:val="17"/>
        </w:numPr>
        <w:spacing w:after="0" w:line="252" w:lineRule="auto"/>
        <w:ind w:right="300"/>
        <w:rPr>
          <w:rFonts w:ascii="Calibri" w:hAnsi="Calibri"/>
          <w:lang w:val="en-US" w:eastAsia="ja-JP"/>
        </w:rPr>
      </w:pPr>
      <w:r>
        <w:rPr>
          <w:rFonts w:ascii="Calibri" w:hAnsi="Calibri"/>
          <w:lang w:val="en-US" w:eastAsia="ja-JP"/>
        </w:rPr>
        <w:t>periodicity is the configured periodicity of the configured grant type 1.</w:t>
      </w:r>
    </w:p>
    <w:p w14:paraId="4EA773F2" w14:textId="0917F3AB" w:rsidR="00553830" w:rsidRDefault="00553830" w:rsidP="003E466D">
      <w:pPr>
        <w:spacing w:after="0" w:line="240" w:lineRule="auto"/>
        <w:ind w:right="300"/>
        <w:rPr>
          <w:lang w:val="en-US"/>
        </w:rPr>
      </w:pPr>
    </w:p>
    <w:p w14:paraId="1B2CEBF0" w14:textId="1C1E4F8E" w:rsidR="00553830" w:rsidRDefault="00553830" w:rsidP="00AD4738">
      <w:pPr>
        <w:pStyle w:val="Heading3"/>
      </w:pPr>
      <w:r>
        <w:t>Q3: Determination of the slot of the first sidelink transmission for LTE Uu scheduling NR sidelink</w:t>
      </w:r>
    </w:p>
    <w:p w14:paraId="51D48CCB" w14:textId="77777777" w:rsidR="00895055" w:rsidRDefault="00895055" w:rsidP="00895055">
      <w:pPr>
        <w:spacing w:after="0" w:line="240" w:lineRule="auto"/>
        <w:ind w:right="300"/>
        <w:rPr>
          <w:lang w:val="en-US"/>
        </w:rPr>
      </w:pPr>
    </w:p>
    <w:p w14:paraId="12DC2A36" w14:textId="77777777" w:rsidR="000D204B" w:rsidRDefault="000D204B" w:rsidP="000D204B">
      <w:pPr>
        <w:rPr>
          <w:rFonts w:ascii="Calibri" w:eastAsia="SimSun" w:hAnsi="Calibri" w:cs="Calibri"/>
          <w:lang w:val="en-US" w:eastAsia="ja-JP"/>
        </w:rPr>
      </w:pPr>
      <w:r>
        <w:rPr>
          <w:rFonts w:ascii="Calibri" w:hAnsi="Calibri"/>
          <w:b/>
          <w:bCs/>
          <w:highlight w:val="yellow"/>
          <w:lang w:val="en-US" w:eastAsia="ja-JP"/>
        </w:rPr>
        <w:t>Proposal</w:t>
      </w:r>
      <w:r>
        <w:rPr>
          <w:rFonts w:ascii="Calibri" w:hAnsi="Calibri"/>
          <w:lang w:val="en-US" w:eastAsia="ja-JP"/>
        </w:rPr>
        <w:t xml:space="preserve">: </w:t>
      </w:r>
    </w:p>
    <w:p w14:paraId="234C2140" w14:textId="77777777" w:rsidR="000D204B" w:rsidRDefault="000D204B" w:rsidP="000D204B">
      <w:pPr>
        <w:rPr>
          <w:rFonts w:ascii="Calibri" w:hAnsi="Calibri"/>
          <w:lang w:val="en-US" w:eastAsia="ja-JP"/>
        </w:rPr>
      </w:pPr>
      <w:r>
        <w:rPr>
          <w:rFonts w:ascii="Calibri" w:hAnsi="Calibri"/>
          <w:lang w:val="en-US" w:eastAsia="ja-JP"/>
        </w:rPr>
        <w:t>For LTE Uu scheduling NR, the slot of the first sidelink transmission is determined in the same way as for SL configured grant type-1 when NR Uu schedules NR SL.</w:t>
      </w:r>
    </w:p>
    <w:p w14:paraId="3AA4609A" w14:textId="77777777" w:rsidR="000D204B" w:rsidRDefault="000D204B" w:rsidP="00EF4B5D">
      <w:pPr>
        <w:pStyle w:val="ListParagraph"/>
        <w:numPr>
          <w:ilvl w:val="0"/>
          <w:numId w:val="17"/>
        </w:numPr>
        <w:spacing w:line="252" w:lineRule="auto"/>
        <w:rPr>
          <w:lang w:val="en-US" w:eastAsia="ja-JP"/>
        </w:rPr>
      </w:pPr>
      <w:r>
        <w:rPr>
          <w:lang w:val="en-US" w:eastAsia="ja-JP"/>
        </w:rPr>
        <w:t>SFN=0 refers to the LTE DL carrier.</w:t>
      </w:r>
    </w:p>
    <w:p w14:paraId="76EB980C" w14:textId="70B1F58C" w:rsidR="00553830" w:rsidRDefault="00553830" w:rsidP="003E466D">
      <w:pPr>
        <w:spacing w:after="0" w:line="240" w:lineRule="auto"/>
        <w:ind w:right="300"/>
        <w:rPr>
          <w:lang w:val="en-US"/>
        </w:rPr>
      </w:pPr>
    </w:p>
    <w:p w14:paraId="402B08E3" w14:textId="77777777" w:rsidR="0010449E" w:rsidRDefault="0010449E" w:rsidP="00AD4738">
      <w:pPr>
        <w:pStyle w:val="Heading3"/>
        <w:rPr>
          <w:rFonts w:eastAsia="SimSun" w:cs="Calibri"/>
          <w:lang w:val="en-US"/>
        </w:rPr>
      </w:pPr>
      <w:r>
        <w:t>Q4: Determination of the slot of the uplink transmission for SL HARQ-ACK reporting to the gNB</w:t>
      </w:r>
    </w:p>
    <w:p w14:paraId="4E65B467" w14:textId="77777777" w:rsidR="000D204B" w:rsidRDefault="000D204B" w:rsidP="000D204B">
      <w:pPr>
        <w:rPr>
          <w:rFonts w:ascii="Calibri" w:eastAsia="SimSun" w:hAnsi="Calibri" w:cs="Calibri"/>
          <w:lang w:val="en-US" w:eastAsia="ja-JP"/>
        </w:rPr>
      </w:pPr>
      <w:r>
        <w:rPr>
          <w:rFonts w:ascii="Calibri" w:hAnsi="Calibri"/>
          <w:b/>
          <w:bCs/>
          <w:highlight w:val="yellow"/>
          <w:lang w:val="en-US" w:eastAsia="ja-JP"/>
        </w:rPr>
        <w:t>Proposal</w:t>
      </w:r>
      <w:r>
        <w:rPr>
          <w:rFonts w:ascii="Calibri" w:hAnsi="Calibri"/>
          <w:lang w:val="en-US" w:eastAsia="ja-JP"/>
        </w:rPr>
        <w:t>:</w:t>
      </w:r>
    </w:p>
    <w:p w14:paraId="2EC6AB63" w14:textId="77777777" w:rsidR="000D204B" w:rsidRDefault="000D204B" w:rsidP="00EF4B5D">
      <w:pPr>
        <w:numPr>
          <w:ilvl w:val="0"/>
          <w:numId w:val="18"/>
        </w:numPr>
        <w:spacing w:after="0" w:line="252" w:lineRule="auto"/>
        <w:rPr>
          <w:rFonts w:ascii="Calibri" w:hAnsi="Calibri"/>
          <w:lang w:val="en-US" w:eastAsia="ja-JP"/>
        </w:rPr>
      </w:pPr>
      <w:r>
        <w:rPr>
          <w:rFonts w:ascii="Calibri" w:hAnsi="Calibri"/>
          <w:lang w:val="en-US" w:eastAsia="ja-JP"/>
        </w:rPr>
        <w:t>The working assumption from RAN1#99 is confirmed.</w:t>
      </w:r>
    </w:p>
    <w:p w14:paraId="16A9B1E2" w14:textId="77777777" w:rsidR="000D204B" w:rsidRPr="00EF4B5D" w:rsidRDefault="000D204B" w:rsidP="00EF4B5D">
      <w:pPr>
        <w:numPr>
          <w:ilvl w:val="0"/>
          <w:numId w:val="18"/>
        </w:numPr>
        <w:spacing w:after="0" w:line="252" w:lineRule="auto"/>
        <w:rPr>
          <w:rFonts w:ascii="Calibri" w:hAnsi="Calibri"/>
          <w:lang w:val="en-US" w:eastAsia="ja-JP"/>
        </w:rPr>
      </w:pPr>
      <w:r>
        <w:rPr>
          <w:rFonts w:ascii="Calibri" w:hAnsi="Calibri"/>
          <w:lang w:val="en-US" w:eastAsia="ja-JP"/>
        </w:rPr>
        <w:t xml:space="preserve">To derive the </w:t>
      </w:r>
      <w:r w:rsidRPr="00EF4B5D">
        <w:rPr>
          <w:rFonts w:ascii="Calibri" w:hAnsi="Calibri"/>
          <w:lang w:val="en-US" w:eastAsia="ja-JP"/>
        </w:rPr>
        <w:t>time of SL HARQ-ACK to the gNB the timing of Uu is used (i.e., assuming that the SL and the Uu timing are the same).</w:t>
      </w:r>
    </w:p>
    <w:p w14:paraId="0719F86E" w14:textId="77777777" w:rsidR="000D204B" w:rsidRDefault="000D204B" w:rsidP="000D204B">
      <w:pPr>
        <w:rPr>
          <w:rFonts w:ascii="Calibri" w:hAnsi="Calibri"/>
          <w:lang w:val="en-US" w:eastAsia="ja-JP"/>
        </w:rPr>
      </w:pPr>
    </w:p>
    <w:p w14:paraId="0A5C58D3" w14:textId="77777777" w:rsidR="000D204B" w:rsidRDefault="000D204B" w:rsidP="000D204B">
      <w:pPr>
        <w:rPr>
          <w:rFonts w:ascii="Calibri" w:hAnsi="Calibri"/>
          <w:lang w:val="en-US" w:eastAsia="ja-JP"/>
        </w:rPr>
      </w:pPr>
      <w:r>
        <w:rPr>
          <w:rFonts w:ascii="Calibri" w:hAnsi="Calibri"/>
          <w:lang w:val="en-US" w:eastAsia="ja-JP"/>
        </w:rPr>
        <w:t>For reference, the working assumption is the following one:</w:t>
      </w:r>
    </w:p>
    <w:p w14:paraId="13C8475C" w14:textId="77777777" w:rsidR="000D204B" w:rsidRDefault="000D204B" w:rsidP="000D204B">
      <w:pPr>
        <w:spacing w:line="252" w:lineRule="auto"/>
        <w:rPr>
          <w:rFonts w:ascii="Calibri" w:hAnsi="Calibri"/>
          <w:highlight w:val="darkYellow"/>
          <w:lang w:val="en-US" w:eastAsia="ja-JP"/>
        </w:rPr>
      </w:pPr>
      <w:r>
        <w:rPr>
          <w:rFonts w:ascii="Calibri" w:hAnsi="Calibri"/>
          <w:highlight w:val="darkYellow"/>
          <w:lang w:val="en-US" w:eastAsia="ja-JP"/>
        </w:rPr>
        <w:t>Working assumption:</w:t>
      </w:r>
    </w:p>
    <w:p w14:paraId="05664A73" w14:textId="77777777" w:rsidR="000D204B" w:rsidRDefault="000D204B" w:rsidP="00EF4B5D">
      <w:pPr>
        <w:numPr>
          <w:ilvl w:val="0"/>
          <w:numId w:val="19"/>
        </w:numPr>
        <w:spacing w:after="0" w:line="252" w:lineRule="auto"/>
        <w:rPr>
          <w:rFonts w:ascii="Calibri" w:hAnsi="Calibri"/>
          <w:lang w:val="x-none" w:eastAsia="ja-JP"/>
        </w:rPr>
      </w:pPr>
      <w:r>
        <w:rPr>
          <w:rFonts w:ascii="Calibri" w:hAnsi="Calibri"/>
          <w:lang w:val="x-none" w:eastAsia="ja-JP"/>
        </w:rPr>
        <w:t xml:space="preserve">The timing of the PUCCH used for conveying SL HARQ is indicated in DCI or RRC (only for transmissions without a DCI) in terms of PSFCH-to-PUCCH physical slots, where the slot duration is defined based on the PUCCH SCS. </w:t>
      </w:r>
    </w:p>
    <w:p w14:paraId="667028EE" w14:textId="1881714E" w:rsidR="0075345C" w:rsidRPr="00EF4B5D" w:rsidRDefault="000D204B" w:rsidP="00EF4B5D">
      <w:pPr>
        <w:numPr>
          <w:ilvl w:val="1"/>
          <w:numId w:val="19"/>
        </w:numPr>
        <w:spacing w:after="0" w:line="252" w:lineRule="auto"/>
        <w:rPr>
          <w:rFonts w:ascii="Calibri" w:hAnsi="Calibri"/>
          <w:lang w:val="x-none" w:eastAsia="ja-JP"/>
        </w:rPr>
      </w:pPr>
      <w:r>
        <w:rPr>
          <w:rFonts w:ascii="Calibri" w:hAnsi="Calibri"/>
          <w:lang w:val="x-none" w:eastAsia="ja-JP"/>
        </w:rPr>
        <w:t>Note: it is not intended to define any new sync requirements for gNBs</w:t>
      </w:r>
    </w:p>
    <w:p w14:paraId="562FE3E1" w14:textId="77777777" w:rsidR="0075345C" w:rsidRDefault="0075345C" w:rsidP="0010449E">
      <w:pPr>
        <w:spacing w:after="0" w:line="240" w:lineRule="auto"/>
        <w:rPr>
          <w:lang w:val="en-US"/>
        </w:rPr>
      </w:pPr>
    </w:p>
    <w:p w14:paraId="2ED8153D" w14:textId="35BCD7A3" w:rsidR="00553830" w:rsidRDefault="00553830" w:rsidP="0010449E">
      <w:pPr>
        <w:spacing w:after="0" w:line="240" w:lineRule="auto"/>
        <w:rPr>
          <w:lang w:val="en-US"/>
        </w:rPr>
      </w:pPr>
      <w:r>
        <w:rPr>
          <w:lang w:val="en-US"/>
        </w:rPr>
        <w:br w:type="page"/>
      </w:r>
    </w:p>
    <w:p w14:paraId="0EDD6FE9" w14:textId="77777777" w:rsidR="00724090" w:rsidRDefault="00724090" w:rsidP="0010449E">
      <w:pPr>
        <w:spacing w:after="0" w:line="240" w:lineRule="auto"/>
        <w:rPr>
          <w:lang w:val="en-US"/>
        </w:rPr>
      </w:pPr>
    </w:p>
    <w:p w14:paraId="09FCCCA7" w14:textId="2F512F72" w:rsidR="00553830" w:rsidRPr="00AD4738" w:rsidRDefault="00AD4738" w:rsidP="00AD4738">
      <w:pPr>
        <w:pStyle w:val="Heading2"/>
      </w:pPr>
      <w:r>
        <w:t xml:space="preserve">Issue </w:t>
      </w:r>
      <w:r w:rsidR="003F6D7A">
        <w:t xml:space="preserve">2 - </w:t>
      </w:r>
      <w:r w:rsidR="00553830" w:rsidRPr="00AD4738">
        <w:t xml:space="preserve">1.2 General HARQ aspects </w:t>
      </w:r>
      <w:r w:rsidR="00553830" w:rsidRPr="00AD4738">
        <w:rPr>
          <w:highlight w:val="yellow"/>
        </w:rPr>
        <w:t>[Prioritized]</w:t>
      </w:r>
    </w:p>
    <w:p w14:paraId="4243D013" w14:textId="77777777" w:rsidR="00553830" w:rsidRDefault="00553830" w:rsidP="00EF4B5D">
      <w:pPr>
        <w:pStyle w:val="ListParagraph"/>
        <w:numPr>
          <w:ilvl w:val="1"/>
          <w:numId w:val="15"/>
        </w:numPr>
        <w:spacing w:after="0" w:line="240" w:lineRule="auto"/>
        <w:ind w:left="1080" w:right="300"/>
        <w:rPr>
          <w:lang w:val="en-US"/>
        </w:rPr>
      </w:pPr>
      <w:r>
        <w:rPr>
          <w:lang w:val="en-US"/>
        </w:rPr>
        <w:t>Relationship between HPN and NDI in DCI and HPN and NDI in SCI.</w:t>
      </w:r>
    </w:p>
    <w:p w14:paraId="3E924597" w14:textId="77777777" w:rsidR="00553830" w:rsidRPr="0003138A" w:rsidRDefault="00553830" w:rsidP="00EF4B5D">
      <w:pPr>
        <w:pStyle w:val="ListParagraph"/>
        <w:numPr>
          <w:ilvl w:val="1"/>
          <w:numId w:val="15"/>
        </w:numPr>
        <w:spacing w:after="0" w:line="240" w:lineRule="auto"/>
        <w:ind w:left="1080" w:right="300"/>
        <w:rPr>
          <w:lang w:val="en-US"/>
        </w:rPr>
      </w:pPr>
      <w:r>
        <w:rPr>
          <w:lang w:val="en-US"/>
        </w:rPr>
        <w:t xml:space="preserve">For configured grant, how to determine the HARQ process ID for a configured grant, the related </w:t>
      </w:r>
      <w:r w:rsidRPr="0003138A">
        <w:rPr>
          <w:lang w:val="en-US"/>
        </w:rPr>
        <w:t>working assumption, and including potential RRC parameters.</w:t>
      </w:r>
    </w:p>
    <w:p w14:paraId="0C847FC9" w14:textId="77777777" w:rsidR="00553830" w:rsidRPr="0003138A" w:rsidRDefault="00553830" w:rsidP="00EF4B5D">
      <w:pPr>
        <w:pStyle w:val="ListParagraph"/>
        <w:numPr>
          <w:ilvl w:val="1"/>
          <w:numId w:val="15"/>
        </w:numPr>
        <w:spacing w:after="0" w:line="240" w:lineRule="auto"/>
        <w:ind w:left="1080" w:right="300"/>
        <w:rPr>
          <w:lang w:val="en-US"/>
        </w:rPr>
      </w:pPr>
      <w:r w:rsidRPr="0003138A">
        <w:rPr>
          <w:lang w:val="en-US"/>
        </w:rPr>
        <w:t>For configured grant, when a retransmission is scheduled, how to determine the corresponding TB, including potential restrictions to the number of TBs transmitted within one period.</w:t>
      </w:r>
    </w:p>
    <w:p w14:paraId="5226F1E6" w14:textId="77777777" w:rsidR="00553830" w:rsidRDefault="00553830" w:rsidP="00EF4B5D">
      <w:pPr>
        <w:pStyle w:val="ListParagraph"/>
        <w:numPr>
          <w:ilvl w:val="1"/>
          <w:numId w:val="15"/>
        </w:numPr>
        <w:spacing w:after="0" w:line="240" w:lineRule="auto"/>
        <w:ind w:left="1080" w:right="300"/>
        <w:rPr>
          <w:lang w:val="en-US"/>
        </w:rPr>
      </w:pPr>
      <w:r w:rsidRPr="00153124">
        <w:rPr>
          <w:lang w:val="en-US"/>
        </w:rPr>
        <w:t>For a configured grant, whether to allow using multiple HARQ processes in parallel.</w:t>
      </w:r>
    </w:p>
    <w:p w14:paraId="2DC56D3F" w14:textId="38E46E31" w:rsidR="00553830" w:rsidRDefault="00553830" w:rsidP="003E466D">
      <w:pPr>
        <w:spacing w:after="0" w:line="240" w:lineRule="auto"/>
        <w:ind w:right="300"/>
        <w:rPr>
          <w:lang w:val="en-US"/>
        </w:rPr>
      </w:pPr>
    </w:p>
    <w:p w14:paraId="646FE4B6" w14:textId="77777777" w:rsidR="00EF4B5D" w:rsidRDefault="00EF4B5D" w:rsidP="00AD4738">
      <w:pPr>
        <w:pStyle w:val="Heading3"/>
        <w:rPr>
          <w:rFonts w:ascii="Calibri" w:hAnsi="Calibri" w:cs="Calibri"/>
        </w:rPr>
      </w:pPr>
      <w:r>
        <w:t>Q1: Relationship between HPN and NDI in DCI and HPN and NDI in SCI.</w:t>
      </w:r>
    </w:p>
    <w:p w14:paraId="33A603C4" w14:textId="77777777" w:rsidR="00EF4B5D" w:rsidRDefault="00EF4B5D" w:rsidP="00EF4B5D">
      <w:pPr>
        <w:rPr>
          <w:lang w:val="en-US"/>
        </w:rPr>
      </w:pPr>
      <w:r>
        <w:rPr>
          <w:lang w:val="en-US"/>
        </w:rPr>
        <w:t>Whether the HPN and the NDI flag signaled in DCI and the HPN and the NDI flag signaled in SCI are the same or not. If they are not the same, how are they determined?</w:t>
      </w:r>
    </w:p>
    <w:p w14:paraId="6A57EEFB" w14:textId="40760B30" w:rsidR="00EF4B5D" w:rsidRDefault="00EF4B5D" w:rsidP="00EF4B5D">
      <w:pPr>
        <w:rPr>
          <w:rFonts w:ascii="SimSun" w:eastAsia="SimSun" w:hAnsi="SimSun" w:cs="Calibri"/>
          <w:sz w:val="24"/>
          <w:szCs w:val="24"/>
          <w:lang w:val="en-US" w:eastAsia="ko-KR"/>
        </w:rPr>
      </w:pPr>
      <w:r>
        <w:rPr>
          <w:rFonts w:ascii="Calibri" w:hAnsi="Calibri"/>
          <w:b/>
          <w:bCs/>
          <w:color w:val="000000"/>
          <w:shd w:val="clear" w:color="auto" w:fill="FFFF00"/>
          <w:lang w:val="en-US" w:eastAsia="ko-KR"/>
        </w:rPr>
        <w:t>Proposal</w:t>
      </w:r>
      <w:r>
        <w:rPr>
          <w:rFonts w:ascii="Calibri" w:hAnsi="Calibri"/>
          <w:lang w:val="en-US" w:eastAsia="ko-KR"/>
        </w:rPr>
        <w:t>:</w:t>
      </w:r>
    </w:p>
    <w:p w14:paraId="4A780BD1" w14:textId="6B28500D" w:rsidR="00EF4B5D" w:rsidRPr="00EF4B5D" w:rsidRDefault="00EF4B5D" w:rsidP="00EF4B5D">
      <w:pPr>
        <w:numPr>
          <w:ilvl w:val="0"/>
          <w:numId w:val="20"/>
        </w:numPr>
        <w:spacing w:before="100" w:beforeAutospacing="1" w:after="100" w:afterAutospacing="1" w:line="252" w:lineRule="atLeast"/>
        <w:ind w:right="300"/>
        <w:rPr>
          <w:rFonts w:ascii="Calibri" w:eastAsia="Gulim" w:hAnsi="Calibri" w:hint="eastAsia"/>
          <w:lang w:val="en-US" w:eastAsia="ja-JP"/>
        </w:rPr>
      </w:pPr>
      <w:r w:rsidRPr="00EF4B5D">
        <w:rPr>
          <w:rFonts w:ascii="Calibri" w:hAnsi="Calibri"/>
          <w:lang w:val="en-US" w:eastAsia="ja-JP"/>
        </w:rPr>
        <w:t>The mapping between the values of HPN signaled in DCI and HPN signaled in SCI is fixed for a TB, and is up to UE implementation.</w:t>
      </w:r>
    </w:p>
    <w:p w14:paraId="7A6A3BB2" w14:textId="77777777" w:rsidR="00EF4B5D" w:rsidRDefault="00EF4B5D" w:rsidP="00EF4B5D">
      <w:pPr>
        <w:numPr>
          <w:ilvl w:val="0"/>
          <w:numId w:val="20"/>
        </w:numPr>
        <w:spacing w:before="100" w:beforeAutospacing="1" w:after="100" w:afterAutospacing="1" w:line="252" w:lineRule="atLeast"/>
        <w:ind w:right="300"/>
        <w:rPr>
          <w:rFonts w:ascii="SimSun" w:eastAsia="SimSun" w:hAnsi="SimSun"/>
          <w:sz w:val="24"/>
          <w:szCs w:val="24"/>
          <w:lang w:val="en-US" w:eastAsia="ko-KR"/>
        </w:rPr>
      </w:pPr>
      <w:r w:rsidRPr="00EF4B5D">
        <w:rPr>
          <w:rFonts w:ascii="Calibri" w:hAnsi="Calibri"/>
          <w:lang w:val="en-US" w:eastAsia="ko-KR"/>
        </w:rPr>
        <w:t>For dynamic grant,</w:t>
      </w:r>
      <w:r w:rsidRPr="00EF4B5D">
        <w:rPr>
          <w:rStyle w:val="apple-converted-space"/>
          <w:rFonts w:ascii="Calibri" w:hAnsi="Calibri"/>
          <w:lang w:val="en-US" w:eastAsia="ko-KR"/>
        </w:rPr>
        <w:t> </w:t>
      </w:r>
      <w:r w:rsidRPr="00EF4B5D">
        <w:rPr>
          <w:rFonts w:ascii="Calibri" w:hAnsi="Calibri"/>
          <w:lang w:val="en-US" w:eastAsia="ko-KR"/>
        </w:rPr>
        <w:t xml:space="preserve">the toggling of NDI in DCI is used as the toggling of NDI in SCI for the first SL transmission scheduled </w:t>
      </w:r>
      <w:r>
        <w:rPr>
          <w:rFonts w:ascii="Calibri" w:hAnsi="Calibri"/>
          <w:lang w:val="en-US" w:eastAsia="ko-KR"/>
        </w:rPr>
        <w:t>by the DCI. The SCI for the remaining transmissions scheduled by the DCI, if any, have the NDI untoggled with respect to the first SL transmission.</w:t>
      </w:r>
    </w:p>
    <w:p w14:paraId="2E6411C3" w14:textId="5D084B63" w:rsidR="00EF4B5D" w:rsidRDefault="00EF4B5D" w:rsidP="003E466D">
      <w:pPr>
        <w:spacing w:after="0" w:line="240" w:lineRule="auto"/>
        <w:ind w:right="300"/>
        <w:rPr>
          <w:lang w:val="en-US"/>
        </w:rPr>
      </w:pPr>
    </w:p>
    <w:p w14:paraId="3246AD4A" w14:textId="77777777" w:rsidR="00AD4738" w:rsidRDefault="00AD4738" w:rsidP="00AD4738">
      <w:pPr>
        <w:pStyle w:val="Heading3"/>
        <w:rPr>
          <w:rFonts w:ascii="Calibri" w:hAnsi="Calibri" w:cs="Calibri"/>
        </w:rPr>
      </w:pPr>
      <w:r>
        <w:t>Q2: For configured grant, how to determine the HARQ process ID for a configured grant, the related working assumption, and including potential RRC parameters.</w:t>
      </w:r>
    </w:p>
    <w:p w14:paraId="5C72CB4B" w14:textId="77777777" w:rsidR="00AD4738" w:rsidRDefault="00AD4738" w:rsidP="00AD4738">
      <w:pPr>
        <w:rPr>
          <w:lang w:val="en-US"/>
        </w:rPr>
      </w:pPr>
      <w:r>
        <w:rPr>
          <w:lang w:val="en-US"/>
        </w:rPr>
        <w:t>For a configured grant, how to determine the HARQ process ID (e.g., using a formula, by RRC configuration, etc.).</w:t>
      </w:r>
    </w:p>
    <w:p w14:paraId="3AEDED2A" w14:textId="77777777" w:rsidR="00AD4738" w:rsidRDefault="00AD4738" w:rsidP="00AD4738">
      <w:pPr>
        <w:rPr>
          <w:lang w:val="en-US"/>
        </w:rPr>
      </w:pPr>
      <w:r>
        <w:rPr>
          <w:lang w:val="en-US"/>
        </w:rPr>
        <w:t>Any discussion related to the working assumption from RAN1#99, including confirmation revocation (please explain why):</w:t>
      </w:r>
    </w:p>
    <w:p w14:paraId="2240FD6B" w14:textId="77777777" w:rsidR="00AD4738" w:rsidRDefault="00AD4738" w:rsidP="003E466D">
      <w:pPr>
        <w:spacing w:after="0" w:line="240" w:lineRule="auto"/>
        <w:ind w:right="300"/>
        <w:rPr>
          <w:lang w:val="en-US"/>
        </w:rPr>
      </w:pPr>
    </w:p>
    <w:p w14:paraId="5819F402" w14:textId="77777777" w:rsidR="000124D2" w:rsidRDefault="000124D2" w:rsidP="000124D2">
      <w:pPr>
        <w:rPr>
          <w:rFonts w:ascii="Calibri" w:eastAsia="Gulim" w:hAnsi="Calibri" w:cs="Calibri"/>
          <w:b/>
          <w:bCs/>
          <w:color w:val="000000"/>
          <w:shd w:val="clear" w:color="auto" w:fill="FFFF00"/>
          <w:lang w:val="en-US" w:eastAsia="ko-KR"/>
        </w:rPr>
      </w:pPr>
      <w:r>
        <w:rPr>
          <w:rFonts w:ascii="Calibri" w:hAnsi="Calibri"/>
          <w:b/>
          <w:bCs/>
          <w:color w:val="000000"/>
          <w:shd w:val="clear" w:color="auto" w:fill="FFFF00"/>
          <w:lang w:val="en-US" w:eastAsia="ko-KR"/>
        </w:rPr>
        <w:t>Proposal:</w:t>
      </w:r>
    </w:p>
    <w:p w14:paraId="76B2DBF2" w14:textId="77777777" w:rsidR="000124D2" w:rsidRDefault="000124D2" w:rsidP="000124D2">
      <w:pPr>
        <w:numPr>
          <w:ilvl w:val="0"/>
          <w:numId w:val="22"/>
        </w:numPr>
        <w:spacing w:before="100" w:beforeAutospacing="1" w:after="100" w:afterAutospacing="1" w:line="240" w:lineRule="auto"/>
        <w:ind w:right="300"/>
        <w:rPr>
          <w:rFonts w:ascii="SimSun" w:eastAsia="SimSun" w:hAnsi="SimSun"/>
          <w:sz w:val="24"/>
          <w:szCs w:val="24"/>
          <w:lang w:val="en-US" w:eastAsia="ko-KR"/>
        </w:rPr>
      </w:pPr>
      <w:r>
        <w:rPr>
          <w:rFonts w:ascii="Calibri" w:hAnsi="Calibri"/>
          <w:lang w:val="en-US" w:eastAsia="ko-KR"/>
        </w:rPr>
        <w:t>The HARQ process ID for each transmission in a resource corresponding to a SL configured grant is determined based on the formula used for UL configured grants.</w:t>
      </w:r>
    </w:p>
    <w:p w14:paraId="46ACD058" w14:textId="6EC5A566" w:rsidR="000124D2" w:rsidRDefault="000124D2" w:rsidP="000124D2">
      <w:pPr>
        <w:numPr>
          <w:ilvl w:val="1"/>
          <w:numId w:val="22"/>
        </w:numPr>
        <w:spacing w:before="100" w:beforeAutospacing="1" w:after="100" w:afterAutospacing="1" w:line="252" w:lineRule="atLeast"/>
        <w:ind w:right="300"/>
        <w:rPr>
          <w:rFonts w:ascii="Calibri" w:eastAsia="Gulim" w:hAnsi="Calibri" w:hint="eastAsia"/>
          <w:lang w:val="en-US" w:eastAsia="ja-JP"/>
        </w:rPr>
      </w:pPr>
      <w:r>
        <w:rPr>
          <w:rFonts w:ascii="Calibri" w:hAnsi="Calibri"/>
          <w:lang w:val="en-US" w:eastAsia="ko-KR"/>
        </w:rPr>
        <w:t xml:space="preserve">The </w:t>
      </w:r>
      <w:r w:rsidRPr="00BB1DB4">
        <w:rPr>
          <w:rFonts w:ascii="Calibri" w:hAnsi="Calibri"/>
          <w:lang w:val="en-US" w:eastAsia="ko-KR"/>
        </w:rPr>
        <w:t xml:space="preserve">mapping </w:t>
      </w:r>
      <w:r>
        <w:rPr>
          <w:rFonts w:ascii="Calibri" w:hAnsi="Calibri"/>
          <w:lang w:val="en-US" w:eastAsia="ko-KR"/>
        </w:rPr>
        <w:t>with the values of HPN in SCI is fixed for a TB</w:t>
      </w:r>
      <w:r w:rsidR="00BB1DB4">
        <w:rPr>
          <w:rFonts w:ascii="Calibri" w:hAnsi="Calibri"/>
          <w:lang w:val="en-US" w:eastAsia="ko-KR"/>
        </w:rPr>
        <w:t>,</w:t>
      </w:r>
      <w:r>
        <w:rPr>
          <w:rFonts w:ascii="Calibri" w:hAnsi="Calibri"/>
          <w:lang w:val="en-US" w:eastAsia="ja-JP"/>
        </w:rPr>
        <w:t xml:space="preserve"> and is up to UE implementation.</w:t>
      </w:r>
    </w:p>
    <w:p w14:paraId="6EC19C81" w14:textId="77777777" w:rsidR="000124D2" w:rsidRDefault="000124D2" w:rsidP="000124D2">
      <w:pPr>
        <w:ind w:left="567"/>
        <w:rPr>
          <w:rFonts w:ascii="SimSun" w:eastAsia="SimSun" w:hAnsi="SimSun"/>
          <w:sz w:val="24"/>
          <w:szCs w:val="24"/>
          <w:lang w:val="en-US" w:eastAsia="ko-KR"/>
        </w:rPr>
      </w:pPr>
      <w:r>
        <w:rPr>
          <w:rFonts w:ascii="Calibri" w:hAnsi="Calibri"/>
          <w:u w:val="single"/>
          <w:lang w:val="en-US" w:eastAsia="ko-KR"/>
        </w:rPr>
        <w:t>Note</w:t>
      </w:r>
      <w:r>
        <w:rPr>
          <w:rFonts w:ascii="Calibri" w:hAnsi="Calibri"/>
          <w:lang w:val="en-US" w:eastAsia="ko-KR"/>
        </w:rPr>
        <w:t>: This corresponds to the HARQ process ID for the interaction between gNB and UE, if any distinction is made.</w:t>
      </w:r>
    </w:p>
    <w:p w14:paraId="149DE738" w14:textId="77777777" w:rsidR="000124D2" w:rsidRDefault="000124D2" w:rsidP="000124D2">
      <w:pPr>
        <w:ind w:left="567"/>
        <w:rPr>
          <w:rFonts w:ascii="SimSun" w:eastAsia="SimSun" w:hAnsi="SimSun" w:hint="eastAsia"/>
          <w:lang w:val="en-US" w:eastAsia="ko-KR"/>
        </w:rPr>
      </w:pPr>
      <w:r>
        <w:rPr>
          <w:rFonts w:ascii="Calibri" w:hAnsi="Calibri"/>
          <w:u w:val="single"/>
          <w:lang w:val="en-US" w:eastAsia="ko-KR"/>
        </w:rPr>
        <w:t>Note</w:t>
      </w:r>
      <w:r>
        <w:rPr>
          <w:rFonts w:ascii="Calibri" w:hAnsi="Calibri"/>
          <w:lang w:val="en-US" w:eastAsia="ko-KR"/>
        </w:rPr>
        <w:t>: if the principle itself is agreeable, we can then discuss any need for modifications, possibly as part of the TP drafting phase.</w:t>
      </w:r>
    </w:p>
    <w:p w14:paraId="2B42327E" w14:textId="5DDC7AA4" w:rsidR="00AD4738" w:rsidRDefault="00AD4738" w:rsidP="003E466D">
      <w:pPr>
        <w:spacing w:after="0" w:line="240" w:lineRule="auto"/>
        <w:ind w:right="300"/>
        <w:rPr>
          <w:lang w:val="en-US"/>
        </w:rPr>
      </w:pPr>
    </w:p>
    <w:p w14:paraId="6E59D6F1" w14:textId="0797D4F0" w:rsidR="000124D2" w:rsidRDefault="000124D2" w:rsidP="003E466D">
      <w:pPr>
        <w:spacing w:after="0" w:line="240" w:lineRule="auto"/>
        <w:ind w:right="300"/>
        <w:rPr>
          <w:lang w:val="en-US"/>
        </w:rPr>
      </w:pPr>
    </w:p>
    <w:p w14:paraId="7044F05B" w14:textId="77777777" w:rsidR="000124D2" w:rsidRDefault="000124D2" w:rsidP="000124D2">
      <w:pPr>
        <w:pStyle w:val="Heading3"/>
        <w:rPr>
          <w:rFonts w:ascii="Calibri" w:hAnsi="Calibri" w:cs="Calibri"/>
        </w:rPr>
      </w:pPr>
      <w:r>
        <w:t>Q3: For configured grant, when a retransmission is scheduled, how to determine the corresponding TB, including potential restrictions to the number of TBs transmitted within one period.</w:t>
      </w:r>
    </w:p>
    <w:p w14:paraId="1FC5CBEC" w14:textId="77777777" w:rsidR="000124D2" w:rsidRDefault="000124D2" w:rsidP="000124D2">
      <w:pPr>
        <w:rPr>
          <w:lang w:val="en-US"/>
        </w:rPr>
      </w:pPr>
      <w:r>
        <w:rPr>
          <w:lang w:val="en-US"/>
        </w:rPr>
        <w:t xml:space="preserve">If multiple TBs are transmitted in the resources corresponding to one period of the configured grant, how to determine for which of them the retransmission is scheduled. </w:t>
      </w:r>
    </w:p>
    <w:p w14:paraId="022CCFC4" w14:textId="77777777" w:rsidR="000124D2" w:rsidRDefault="000124D2" w:rsidP="000124D2">
      <w:pPr>
        <w:rPr>
          <w:lang w:val="en-US"/>
        </w:rPr>
      </w:pPr>
      <w:r>
        <w:rPr>
          <w:lang w:val="en-US"/>
        </w:rPr>
        <w:t>Whether or not to have additional restrictions on the number of TBs that can be transmitted within one period of the configured grant.</w:t>
      </w:r>
    </w:p>
    <w:p w14:paraId="66D0B88D" w14:textId="77777777" w:rsidR="000124D2" w:rsidRDefault="000124D2" w:rsidP="003E466D">
      <w:pPr>
        <w:spacing w:after="0" w:line="240" w:lineRule="auto"/>
        <w:ind w:right="300"/>
        <w:rPr>
          <w:lang w:val="en-US"/>
        </w:rPr>
      </w:pPr>
    </w:p>
    <w:p w14:paraId="310B611F" w14:textId="77777777" w:rsidR="000124D2" w:rsidRDefault="000124D2" w:rsidP="000124D2">
      <w:pPr>
        <w:spacing w:line="252" w:lineRule="atLeast"/>
        <w:rPr>
          <w:rFonts w:ascii="SimSun" w:eastAsia="SimSun" w:hAnsi="SimSun" w:cs="Calibri"/>
          <w:sz w:val="24"/>
          <w:szCs w:val="24"/>
          <w:lang w:val="en-US" w:eastAsia="ko-KR"/>
        </w:rPr>
      </w:pPr>
      <w:r>
        <w:rPr>
          <w:rFonts w:ascii="Calibri" w:hAnsi="Calibri"/>
          <w:b/>
          <w:bCs/>
          <w:color w:val="000000"/>
          <w:shd w:val="clear" w:color="auto" w:fill="FFFF00"/>
          <w:lang w:val="en-US" w:eastAsia="ko-KR"/>
        </w:rPr>
        <w:t>Proposals</w:t>
      </w:r>
      <w:r>
        <w:rPr>
          <w:rFonts w:ascii="Calibri" w:hAnsi="Calibri"/>
          <w:lang w:val="en-US" w:eastAsia="ko-KR"/>
        </w:rPr>
        <w:t>:</w:t>
      </w:r>
    </w:p>
    <w:p w14:paraId="1C99A57A" w14:textId="77777777" w:rsidR="000124D2" w:rsidRDefault="000124D2" w:rsidP="000124D2">
      <w:pPr>
        <w:numPr>
          <w:ilvl w:val="0"/>
          <w:numId w:val="23"/>
        </w:numPr>
        <w:spacing w:after="0" w:line="252" w:lineRule="atLeast"/>
        <w:rPr>
          <w:rFonts w:ascii="SimSun" w:eastAsia="SimSun" w:hAnsi="SimSun" w:hint="eastAsia"/>
          <w:lang w:val="en-US" w:eastAsia="ko-KR"/>
        </w:rPr>
      </w:pPr>
      <w:r>
        <w:rPr>
          <w:rFonts w:ascii="Calibri" w:hAnsi="Calibri"/>
          <w:lang w:val="en-US" w:eastAsia="ko-KR"/>
        </w:rPr>
        <w:t>Only one TB can be transmitted in one period of the configured grant.</w:t>
      </w:r>
    </w:p>
    <w:p w14:paraId="4D6E012D" w14:textId="77777777" w:rsidR="000124D2" w:rsidRDefault="000124D2" w:rsidP="000124D2">
      <w:pPr>
        <w:numPr>
          <w:ilvl w:val="0"/>
          <w:numId w:val="23"/>
        </w:numPr>
        <w:spacing w:after="0" w:line="252" w:lineRule="atLeast"/>
        <w:rPr>
          <w:rFonts w:ascii="SimSun" w:eastAsia="SimSun" w:hAnsi="SimSun" w:hint="eastAsia"/>
          <w:lang w:val="en-US" w:eastAsia="ko-KR"/>
        </w:rPr>
      </w:pPr>
      <w:r>
        <w:rPr>
          <w:rFonts w:ascii="Calibri" w:hAnsi="Calibri"/>
          <w:lang w:val="en-US" w:eastAsia="ko-KR"/>
        </w:rPr>
        <w:t xml:space="preserve">The DCI scheduling the retransmissions uses the </w:t>
      </w:r>
      <w:r w:rsidRPr="00BB1DB4">
        <w:rPr>
          <w:rFonts w:ascii="Calibri" w:hAnsi="Calibri"/>
          <w:lang w:val="en-US" w:eastAsia="ko-KR"/>
        </w:rPr>
        <w:t xml:space="preserve">first </w:t>
      </w:r>
      <w:r>
        <w:rPr>
          <w:rFonts w:ascii="Calibri" w:hAnsi="Calibri"/>
          <w:lang w:val="en-US" w:eastAsia="ko-KR"/>
        </w:rPr>
        <w:t>HARQ process ID corresponding to the transmission of the TB, as agreed for Q2.</w:t>
      </w:r>
    </w:p>
    <w:p w14:paraId="6FCA0E8F" w14:textId="14E6D413" w:rsidR="00EB6152" w:rsidRDefault="00EB6152" w:rsidP="00305432">
      <w:pPr>
        <w:spacing w:after="0" w:line="240" w:lineRule="auto"/>
        <w:ind w:right="300"/>
        <w:rPr>
          <w:lang w:val="en-US"/>
        </w:rPr>
      </w:pPr>
    </w:p>
    <w:p w14:paraId="3E32ABF2" w14:textId="77777777" w:rsidR="000124D2" w:rsidRDefault="000124D2" w:rsidP="000124D2">
      <w:pPr>
        <w:pStyle w:val="Heading3"/>
        <w:rPr>
          <w:rFonts w:ascii="Calibri" w:hAnsi="Calibri" w:cs="Calibri"/>
          <w:lang w:eastAsia="fi-FI"/>
        </w:rPr>
      </w:pPr>
      <w:r>
        <w:t>Q4: For a configured grant, whether to allow using multiple HARQ processes in parallel.</w:t>
      </w:r>
    </w:p>
    <w:p w14:paraId="468CA881" w14:textId="77777777" w:rsidR="000124D2" w:rsidRDefault="000124D2" w:rsidP="000124D2">
      <w:pPr>
        <w:rPr>
          <w:rFonts w:ascii="SimSun" w:eastAsia="SimSun" w:hAnsi="SimSun" w:cs="Calibri"/>
          <w:sz w:val="24"/>
          <w:szCs w:val="24"/>
          <w:lang w:val="en-US" w:eastAsia="ko-KR"/>
        </w:rPr>
      </w:pPr>
      <w:r>
        <w:rPr>
          <w:rFonts w:ascii="Calibri" w:hAnsi="Calibri"/>
          <w:b/>
          <w:bCs/>
          <w:color w:val="000000"/>
          <w:shd w:val="clear" w:color="auto" w:fill="FFFF00"/>
          <w:lang w:val="en-US" w:eastAsia="ko-KR"/>
        </w:rPr>
        <w:t>Proposal:</w:t>
      </w:r>
      <w:r>
        <w:rPr>
          <w:rStyle w:val="apple-converted-space"/>
          <w:rFonts w:ascii="Calibri" w:hAnsi="Calibri"/>
          <w:b/>
          <w:bCs/>
          <w:lang w:val="en-US" w:eastAsia="ko-KR"/>
        </w:rPr>
        <w:t> </w:t>
      </w:r>
      <w:r>
        <w:rPr>
          <w:rFonts w:ascii="Calibri" w:hAnsi="Calibri"/>
          <w:lang w:val="en-US" w:eastAsia="ko-KR"/>
        </w:rPr>
        <w:t>The specification supports having multiple HARQ ID processes for a given SL configured grant.</w:t>
      </w:r>
    </w:p>
    <w:p w14:paraId="5D41BE3C" w14:textId="77777777" w:rsidR="00A1691E" w:rsidRDefault="00A1691E" w:rsidP="00A1691E">
      <w:pPr>
        <w:rPr>
          <w:rFonts w:ascii="SimSun" w:eastAsia="SimSun" w:hAnsi="SimSun" w:cs="Calibri"/>
          <w:sz w:val="24"/>
          <w:szCs w:val="24"/>
          <w:lang w:val="en-US" w:eastAsia="ko-KR"/>
        </w:rPr>
      </w:pPr>
      <w:r>
        <w:rPr>
          <w:rFonts w:ascii="Calibri" w:hAnsi="Calibri"/>
          <w:u w:val="single"/>
          <w:lang w:val="en-US" w:eastAsia="ko-KR"/>
        </w:rPr>
        <w:t>Note</w:t>
      </w:r>
      <w:r>
        <w:rPr>
          <w:rFonts w:ascii="Calibri" w:hAnsi="Calibri"/>
          <w:lang w:val="en-US" w:eastAsia="ko-KR"/>
        </w:rPr>
        <w:t>: this is issue is tightly coupled with Q2, so all configuration and specification details can be discussed together.</w:t>
      </w:r>
    </w:p>
    <w:p w14:paraId="105D7107" w14:textId="0AF1AA1A" w:rsidR="0003138A" w:rsidRPr="000124D2" w:rsidRDefault="000124D2" w:rsidP="000124D2">
      <w:pPr>
        <w:pStyle w:val="Heading2"/>
      </w:pPr>
      <w:bookmarkStart w:id="1" w:name="_GoBack"/>
      <w:bookmarkEnd w:id="1"/>
      <w:r>
        <w:t xml:space="preserve">Issue </w:t>
      </w:r>
      <w:r w:rsidR="003F6D7A">
        <w:t xml:space="preserve">3 - </w:t>
      </w:r>
      <w:r w:rsidR="0003138A" w:rsidRPr="000124D2">
        <w:t>1.4 HARQ reporting to gNB</w:t>
      </w:r>
    </w:p>
    <w:p w14:paraId="6BC5CCCB" w14:textId="77777777" w:rsidR="0003138A" w:rsidRDefault="0003138A" w:rsidP="00EF4B5D">
      <w:pPr>
        <w:pStyle w:val="ListParagraph"/>
        <w:numPr>
          <w:ilvl w:val="1"/>
          <w:numId w:val="15"/>
        </w:numPr>
        <w:spacing w:before="100" w:after="0" w:line="240" w:lineRule="auto"/>
        <w:ind w:left="1080" w:right="600"/>
        <w:rPr>
          <w:b/>
          <w:bCs/>
          <w:lang w:val="en-US"/>
        </w:rPr>
      </w:pPr>
      <w:r>
        <w:rPr>
          <w:b/>
          <w:bCs/>
          <w:lang w:val="en-US"/>
        </w:rPr>
        <w:t xml:space="preserve">1.4.1 HARQ-ACK report contents </w:t>
      </w:r>
      <w:r>
        <w:rPr>
          <w:b/>
          <w:bCs/>
          <w:highlight w:val="yellow"/>
          <w:lang w:val="en-US"/>
        </w:rPr>
        <w:t>[Prioritized]</w:t>
      </w:r>
    </w:p>
    <w:p w14:paraId="1E4E6AE1" w14:textId="77777777" w:rsidR="0003138A" w:rsidRDefault="0003138A" w:rsidP="00EF4B5D">
      <w:pPr>
        <w:pStyle w:val="ListParagraph"/>
        <w:numPr>
          <w:ilvl w:val="2"/>
          <w:numId w:val="15"/>
        </w:numPr>
        <w:spacing w:after="0" w:line="240" w:lineRule="auto"/>
        <w:ind w:left="1800" w:right="300"/>
        <w:rPr>
          <w:lang w:val="en-US"/>
        </w:rPr>
      </w:pPr>
      <w:r>
        <w:rPr>
          <w:lang w:val="en-US"/>
        </w:rPr>
        <w:t xml:space="preserve">For groupcast option 1: </w:t>
      </w:r>
    </w:p>
    <w:p w14:paraId="4166F934" w14:textId="77777777" w:rsidR="0003138A" w:rsidRDefault="0003138A" w:rsidP="00EF4B5D">
      <w:pPr>
        <w:pStyle w:val="ListParagraph"/>
        <w:numPr>
          <w:ilvl w:val="3"/>
          <w:numId w:val="15"/>
        </w:numPr>
        <w:spacing w:after="0" w:line="240" w:lineRule="auto"/>
        <w:ind w:left="2520" w:right="300"/>
        <w:rPr>
          <w:lang w:val="en-US"/>
        </w:rPr>
      </w:pPr>
      <w:r>
        <w:rPr>
          <w:lang w:val="en-US"/>
        </w:rPr>
        <w:t xml:space="preserve">The cases when TX UE does not transmit/receive due to prioritization. </w:t>
      </w:r>
    </w:p>
    <w:p w14:paraId="267313F6" w14:textId="77777777" w:rsidR="0003138A" w:rsidRDefault="0003138A" w:rsidP="00EF4B5D">
      <w:pPr>
        <w:pStyle w:val="ListParagraph"/>
        <w:numPr>
          <w:ilvl w:val="2"/>
          <w:numId w:val="15"/>
        </w:numPr>
        <w:spacing w:after="0" w:line="240" w:lineRule="auto"/>
        <w:ind w:left="1800" w:right="300"/>
        <w:rPr>
          <w:lang w:val="en-US"/>
        </w:rPr>
      </w:pPr>
      <w:r>
        <w:rPr>
          <w:lang w:val="en-US"/>
        </w:rPr>
        <w:t xml:space="preserve">For groupcast option 2: </w:t>
      </w:r>
    </w:p>
    <w:p w14:paraId="27D19691" w14:textId="77777777" w:rsidR="0003138A" w:rsidRDefault="0003138A" w:rsidP="00EF4B5D">
      <w:pPr>
        <w:pStyle w:val="ListParagraph"/>
        <w:numPr>
          <w:ilvl w:val="3"/>
          <w:numId w:val="15"/>
        </w:numPr>
        <w:spacing w:after="0" w:line="240" w:lineRule="auto"/>
        <w:ind w:left="2520" w:right="300"/>
        <w:rPr>
          <w:lang w:val="en-US"/>
        </w:rPr>
      </w:pPr>
      <w:r>
        <w:rPr>
          <w:lang w:val="en-US"/>
        </w:rPr>
        <w:t xml:space="preserve">The case with PSFCHs corresponding to multiple PSCCH/PSSCH transmissions before generating the HARQ-ACK report. </w:t>
      </w:r>
    </w:p>
    <w:p w14:paraId="2E89F61E" w14:textId="77777777" w:rsidR="0003138A" w:rsidRDefault="0003138A" w:rsidP="00EF4B5D">
      <w:pPr>
        <w:pStyle w:val="ListParagraph"/>
        <w:numPr>
          <w:ilvl w:val="3"/>
          <w:numId w:val="15"/>
        </w:numPr>
        <w:spacing w:after="0" w:line="240" w:lineRule="auto"/>
        <w:ind w:left="2520" w:right="300"/>
        <w:rPr>
          <w:lang w:val="en-US"/>
        </w:rPr>
      </w:pPr>
      <w:r>
        <w:rPr>
          <w:lang w:val="en-US"/>
        </w:rPr>
        <w:t>Behavior when TX UE does not detect some expected PSFCH.</w:t>
      </w:r>
    </w:p>
    <w:p w14:paraId="7DB3B4A3" w14:textId="77777777" w:rsidR="0003138A" w:rsidRDefault="0003138A" w:rsidP="00EF4B5D">
      <w:pPr>
        <w:pStyle w:val="ListParagraph"/>
        <w:numPr>
          <w:ilvl w:val="2"/>
          <w:numId w:val="15"/>
        </w:numPr>
        <w:spacing w:after="0" w:line="240" w:lineRule="auto"/>
        <w:ind w:left="1800" w:right="300"/>
        <w:rPr>
          <w:lang w:val="en-US"/>
        </w:rPr>
      </w:pPr>
      <w:r>
        <w:rPr>
          <w:lang w:val="en-US"/>
        </w:rPr>
        <w:t xml:space="preserve">The case when no PSCCH/PSSCH is transmitted in a set of resources for configured grant. </w:t>
      </w:r>
    </w:p>
    <w:p w14:paraId="7225C5F3" w14:textId="77777777" w:rsidR="0003138A" w:rsidRDefault="0003138A" w:rsidP="00EF4B5D">
      <w:pPr>
        <w:pStyle w:val="ListParagraph"/>
        <w:numPr>
          <w:ilvl w:val="2"/>
          <w:numId w:val="15"/>
        </w:numPr>
        <w:spacing w:after="0" w:line="240" w:lineRule="auto"/>
        <w:ind w:left="1800" w:right="300"/>
        <w:rPr>
          <w:lang w:val="en-US"/>
        </w:rPr>
      </w:pPr>
      <w:r>
        <w:rPr>
          <w:lang w:val="en-US"/>
        </w:rPr>
        <w:t>The case of reaching the maximum number of HARQ re-transmissions for a TB.</w:t>
      </w:r>
    </w:p>
    <w:p w14:paraId="2E27FB7B" w14:textId="77777777" w:rsidR="0003138A" w:rsidRDefault="0003138A" w:rsidP="00EF4B5D">
      <w:pPr>
        <w:pStyle w:val="ListParagraph"/>
        <w:numPr>
          <w:ilvl w:val="2"/>
          <w:numId w:val="15"/>
        </w:numPr>
        <w:spacing w:after="0" w:line="240" w:lineRule="auto"/>
        <w:ind w:left="1800" w:right="300"/>
        <w:rPr>
          <w:lang w:val="en-US"/>
        </w:rPr>
      </w:pPr>
      <w:r>
        <w:rPr>
          <w:lang w:val="en-US"/>
        </w:rPr>
        <w:t>The case when SL HARQ feedback is not used.</w:t>
      </w:r>
    </w:p>
    <w:bookmarkEnd w:id="0"/>
    <w:p w14:paraId="079C0233" w14:textId="77777777" w:rsidR="00BB1DB4" w:rsidRDefault="00BB1DB4">
      <w:pPr>
        <w:spacing w:after="0" w:line="240" w:lineRule="auto"/>
        <w:rPr>
          <w:rFonts w:cs="Arial"/>
        </w:rPr>
      </w:pPr>
    </w:p>
    <w:p w14:paraId="070D142E" w14:textId="77777777" w:rsidR="00BB1DB4" w:rsidRDefault="00BB1DB4" w:rsidP="00BB1DB4">
      <w:pPr>
        <w:pStyle w:val="Heading3"/>
        <w:rPr>
          <w:rFonts w:ascii="Calibri" w:hAnsi="Calibri" w:cs="Calibri"/>
          <w:lang w:eastAsia="fi-FI"/>
        </w:rPr>
      </w:pPr>
      <w:r>
        <w:t>Q1: For groupcast option 1, what should the TX UE report to the gNB in the cases when it does not transmit or receive due to prioritization?</w:t>
      </w:r>
    </w:p>
    <w:p w14:paraId="5AD36E9F" w14:textId="6694C123" w:rsidR="00BB1DB4" w:rsidRDefault="00BB1DB4" w:rsidP="00BB1DB4">
      <w:pPr>
        <w:rPr>
          <w:rFonts w:ascii="Times New Roman" w:hAnsi="Times New Roman" w:cs="Times New Roman"/>
          <w:lang w:val="en-US" w:eastAsia="ja-JP"/>
        </w:rPr>
      </w:pPr>
      <w:r>
        <w:rPr>
          <w:rFonts w:ascii="Calibri" w:hAnsi="Calibri"/>
          <w:b/>
          <w:bCs/>
          <w:color w:val="000000"/>
          <w:shd w:val="clear" w:color="auto" w:fill="FFFF00"/>
          <w:lang w:val="en-US" w:eastAsia="ja-JP"/>
        </w:rPr>
        <w:t>Proposal</w:t>
      </w:r>
      <w:r>
        <w:rPr>
          <w:rFonts w:ascii="Calibri" w:hAnsi="Calibri"/>
          <w:lang w:val="en-US" w:eastAsia="ja-JP"/>
        </w:rPr>
        <w:t>:</w:t>
      </w:r>
      <w:r>
        <w:rPr>
          <w:rFonts w:ascii="Calibri" w:hAnsi="Calibri"/>
          <w:lang w:val="en-US" w:eastAsia="ja-JP"/>
        </w:rPr>
        <w:t xml:space="preserve"> </w:t>
      </w:r>
      <w:r>
        <w:rPr>
          <w:rFonts w:ascii="Calibri" w:hAnsi="Calibri"/>
          <w:lang w:val="en-US" w:eastAsia="ja-JP"/>
        </w:rPr>
        <w:t>The TX UE reports NACK to the gNB in the following cases:</w:t>
      </w:r>
    </w:p>
    <w:p w14:paraId="7C47B189" w14:textId="77777777" w:rsidR="00BB1DB4" w:rsidRDefault="00BB1DB4" w:rsidP="00BB1DB4">
      <w:pPr>
        <w:numPr>
          <w:ilvl w:val="0"/>
          <w:numId w:val="24"/>
        </w:numPr>
        <w:spacing w:after="0" w:line="252" w:lineRule="atLeast"/>
        <w:ind w:right="150"/>
        <w:rPr>
          <w:rFonts w:ascii="Times New Roman" w:hAnsi="Times New Roman" w:cs="Times New Roman"/>
          <w:lang w:val="en-US" w:eastAsia="ja-JP"/>
        </w:rPr>
      </w:pPr>
      <w:r>
        <w:rPr>
          <w:rFonts w:ascii="Calibri" w:hAnsi="Calibri"/>
          <w:lang w:val="en-US" w:eastAsia="ja-JP"/>
        </w:rPr>
        <w:t>When it does not transmit the corresponding PSCCH/PSSCH due to intra-UE prioritization.</w:t>
      </w:r>
    </w:p>
    <w:p w14:paraId="046192CD" w14:textId="32CCCDAE" w:rsidR="00BB1DB4" w:rsidRPr="00BB1DB4" w:rsidRDefault="00BB1DB4" w:rsidP="00BB1DB4">
      <w:pPr>
        <w:numPr>
          <w:ilvl w:val="0"/>
          <w:numId w:val="24"/>
        </w:numPr>
        <w:spacing w:after="0" w:line="252" w:lineRule="atLeast"/>
        <w:ind w:right="150"/>
        <w:rPr>
          <w:rFonts w:ascii="Times New Roman" w:hAnsi="Times New Roman" w:cs="Times New Roman"/>
          <w:lang w:val="en-US" w:eastAsia="ja-JP"/>
        </w:rPr>
      </w:pPr>
      <w:r>
        <w:rPr>
          <w:rFonts w:ascii="Calibri" w:hAnsi="Calibri"/>
          <w:lang w:val="en-US" w:eastAsia="ja-JP"/>
        </w:rPr>
        <w:t>When it does not receive the corresponding PSFCH due to intra-UE prioritization.</w:t>
      </w:r>
    </w:p>
    <w:p w14:paraId="2E496338" w14:textId="77777777" w:rsidR="00BB1DB4" w:rsidRDefault="00BB1DB4" w:rsidP="00BB1DB4">
      <w:pPr>
        <w:pStyle w:val="Heading3"/>
        <w:rPr>
          <w:rFonts w:ascii="Calibri" w:eastAsia="SimSun" w:hAnsi="Calibri" w:cs="Calibri"/>
        </w:rPr>
      </w:pPr>
      <w:r>
        <w:t xml:space="preserve">Q2: For groupcast option 2, what should the UE behavior be in the case where there are multiple PSFCHs corresponding to multiple PSCCH/PSSCH transmissions before generating the HARQ-ACK report. </w:t>
      </w:r>
    </w:p>
    <w:p w14:paraId="7F900CFB" w14:textId="192DBA53" w:rsidR="00BB1DB4" w:rsidRPr="00BB1DB4" w:rsidRDefault="00BB1DB4" w:rsidP="00BB1DB4">
      <w:pPr>
        <w:rPr>
          <w:rFonts w:ascii="Times New Roman" w:eastAsia="MS PGothic" w:hAnsi="Times New Roman" w:cs="Times New Roman"/>
          <w:sz w:val="24"/>
          <w:szCs w:val="24"/>
          <w:lang w:val="en-US" w:eastAsia="ja-JP"/>
        </w:rPr>
      </w:pPr>
      <w:r>
        <w:rPr>
          <w:rFonts w:ascii="Calibri" w:hAnsi="Calibri"/>
          <w:b/>
          <w:bCs/>
          <w:color w:val="000000"/>
          <w:shd w:val="clear" w:color="auto" w:fill="FFFF00"/>
          <w:lang w:val="en-US" w:eastAsia="ja-JP"/>
        </w:rPr>
        <w:t>Proposal</w:t>
      </w:r>
      <w:r>
        <w:rPr>
          <w:rFonts w:ascii="Calibri" w:hAnsi="Calibri"/>
          <w:lang w:val="en-US" w:eastAsia="ja-JP"/>
        </w:rPr>
        <w:t xml:space="preserve">: For groupcast option 2 in the case where there are multiple PSFCHs corresponding to multiple PSCCH/PSSCH transmissions of a single TB, the TX </w:t>
      </w:r>
      <w:r w:rsidRPr="00BB1DB4">
        <w:rPr>
          <w:rFonts w:ascii="Calibri" w:hAnsi="Calibri"/>
          <w:lang w:val="en-US" w:eastAsia="ja-JP"/>
        </w:rPr>
        <w:t>UE reports ACK to the gNB if it has received ACK at least once from all RX UEs. Otherwise, it reports NACK to the gNB.</w:t>
      </w:r>
    </w:p>
    <w:p w14:paraId="765D2A4A" w14:textId="77777777" w:rsidR="00BB1DB4" w:rsidRDefault="00BB1DB4" w:rsidP="00BB1DB4">
      <w:pPr>
        <w:pStyle w:val="Heading3"/>
      </w:pPr>
      <w:r>
        <w:t>Q3: For groupcast option 2, what should the TX UE report to the gNB when it does not detect some expected PSFCH?</w:t>
      </w:r>
    </w:p>
    <w:p w14:paraId="4C28DE88" w14:textId="77777777" w:rsidR="00BB1DB4" w:rsidRDefault="00BB1DB4" w:rsidP="00BB1DB4">
      <w:pPr>
        <w:jc w:val="both"/>
        <w:rPr>
          <w:rFonts w:ascii="Times New Roman" w:eastAsia="MS PGothic" w:hAnsi="Times New Roman" w:cs="Times New Roman"/>
          <w:sz w:val="24"/>
          <w:szCs w:val="24"/>
          <w:lang w:val="en-US" w:eastAsia="ja-JP"/>
        </w:rPr>
      </w:pPr>
      <w:r>
        <w:rPr>
          <w:rFonts w:ascii="Calibri" w:hAnsi="Calibri"/>
          <w:b/>
          <w:bCs/>
          <w:color w:val="000000"/>
          <w:shd w:val="clear" w:color="auto" w:fill="FFFF00"/>
          <w:lang w:val="en-US" w:eastAsia="ja-JP"/>
        </w:rPr>
        <w:t>Proposal</w:t>
      </w:r>
      <w:r>
        <w:rPr>
          <w:rFonts w:ascii="Calibri" w:hAnsi="Calibri"/>
          <w:lang w:val="en-US" w:eastAsia="ja-JP"/>
        </w:rPr>
        <w:t>: For groupcast option 2, the TX UE reports NACK to the gNB when it does not detect some expected PSFCH.</w:t>
      </w:r>
    </w:p>
    <w:p w14:paraId="245946C8" w14:textId="77777777" w:rsidR="00BB1DB4" w:rsidRDefault="00BB1DB4" w:rsidP="00BB1DB4">
      <w:pPr>
        <w:pStyle w:val="Heading3"/>
      </w:pPr>
      <w:r>
        <w:t>Q4: For configured grant, what should the TX UE report to the gNB report to the gNB in case no PSCCH/PSSCH is transmitted in a set of resources.</w:t>
      </w:r>
    </w:p>
    <w:p w14:paraId="3A8103FD" w14:textId="77777777" w:rsidR="00BB1DB4" w:rsidRDefault="00BB1DB4" w:rsidP="00BB1DB4">
      <w:pPr>
        <w:rPr>
          <w:rFonts w:ascii="Times New Roman" w:eastAsia="MS PGothic" w:hAnsi="Times New Roman" w:cs="Times New Roman"/>
          <w:sz w:val="24"/>
          <w:szCs w:val="24"/>
          <w:lang w:val="en-US" w:eastAsia="ja-JP"/>
        </w:rPr>
      </w:pPr>
      <w:r>
        <w:rPr>
          <w:rFonts w:ascii="Calibri" w:hAnsi="Calibri"/>
          <w:b/>
          <w:bCs/>
          <w:color w:val="000000"/>
          <w:shd w:val="clear" w:color="auto" w:fill="FFFF00"/>
          <w:lang w:val="en-US" w:eastAsia="ja-JP"/>
        </w:rPr>
        <w:t>Proposal</w:t>
      </w:r>
      <w:r>
        <w:rPr>
          <w:rFonts w:ascii="Calibri" w:hAnsi="Calibri"/>
          <w:lang w:val="en-US" w:eastAsia="ja-JP"/>
        </w:rPr>
        <w:t>: For configured grant, the TX UE reports ACK to the gNB in case no PSCCH/PSSCH is transmitted in a set of resources.</w:t>
      </w:r>
    </w:p>
    <w:p w14:paraId="1E9B5E90" w14:textId="1935BB19" w:rsidR="00BB1DB4" w:rsidRPr="00BB1DB4" w:rsidRDefault="00BB1DB4" w:rsidP="00BB1DB4">
      <w:pPr>
        <w:rPr>
          <w:rFonts w:ascii="Times New Roman" w:hAnsi="Times New Roman" w:cs="Times New Roman"/>
          <w:lang w:val="en-US" w:eastAsia="ja-JP"/>
        </w:rPr>
      </w:pPr>
      <w:r w:rsidRPr="00BB1DB4">
        <w:rPr>
          <w:rFonts w:ascii="Calibri" w:hAnsi="Calibri"/>
          <w:u w:val="single"/>
          <w:lang w:val="en-US" w:eastAsia="ja-JP"/>
        </w:rPr>
        <w:t>NOTE</w:t>
      </w:r>
      <w:r>
        <w:rPr>
          <w:rFonts w:ascii="Calibri" w:hAnsi="Calibri"/>
          <w:lang w:val="en-US" w:eastAsia="ja-JP"/>
        </w:rPr>
        <w:t>: The rule in Q1 has precedence over this rule.</w:t>
      </w:r>
    </w:p>
    <w:p w14:paraId="6F518499" w14:textId="77777777" w:rsidR="00BB1DB4" w:rsidRDefault="00BB1DB4" w:rsidP="00BB1DB4">
      <w:pPr>
        <w:pStyle w:val="Heading3"/>
      </w:pPr>
      <w:r>
        <w:t>Q5: What should the TX UE report in case of reaching the maximum number of HARQ re-transmissions for a TB.</w:t>
      </w:r>
    </w:p>
    <w:p w14:paraId="42272B78" w14:textId="0D4EFC84" w:rsidR="00BB1DB4" w:rsidRPr="00BB1DB4" w:rsidRDefault="00BB1DB4" w:rsidP="00BB1DB4">
      <w:pPr>
        <w:rPr>
          <w:rFonts w:ascii="Times New Roman" w:eastAsia="MS PGothic" w:hAnsi="Times New Roman" w:cs="Times New Roman"/>
          <w:sz w:val="24"/>
          <w:szCs w:val="24"/>
          <w:lang w:val="en-US" w:eastAsia="ja-JP"/>
        </w:rPr>
      </w:pPr>
      <w:r>
        <w:rPr>
          <w:rFonts w:ascii="Calibri" w:hAnsi="Calibri"/>
          <w:b/>
          <w:bCs/>
          <w:color w:val="000000"/>
          <w:shd w:val="clear" w:color="auto" w:fill="FFFF00"/>
          <w:lang w:val="en-US" w:eastAsia="ja-JP"/>
        </w:rPr>
        <w:t> Proposal</w:t>
      </w:r>
      <w:r>
        <w:rPr>
          <w:rFonts w:ascii="Calibri" w:hAnsi="Calibri"/>
          <w:lang w:val="en-US" w:eastAsia="ja-JP"/>
        </w:rPr>
        <w:t xml:space="preserve">: </w:t>
      </w:r>
      <w:r w:rsidRPr="00BB1DB4">
        <w:rPr>
          <w:rFonts w:ascii="Times New Roman" w:hAnsi="Times New Roman" w:cs="Times New Roman"/>
          <w:lang w:val="en-US" w:eastAsia="ja-JP"/>
        </w:rPr>
        <w:t>In case of reaching the maximum number of HARQ re-transmissions for a TB, the UE decides whether to report ACK or NACK (i.e., up to UE implementation).</w:t>
      </w:r>
    </w:p>
    <w:p w14:paraId="77215281" w14:textId="77777777" w:rsidR="00BB1DB4" w:rsidRDefault="00BB1DB4" w:rsidP="00BB1DB4">
      <w:pPr>
        <w:pStyle w:val="Heading3"/>
      </w:pPr>
      <w:r>
        <w:t>Q6: What should the TX UE report in case that the SL transmission does not use SL HARQ feedback.</w:t>
      </w:r>
    </w:p>
    <w:p w14:paraId="6175B8CC" w14:textId="77777777" w:rsidR="00BB1DB4" w:rsidRDefault="00BB1DB4" w:rsidP="00BB1DB4">
      <w:pPr>
        <w:rPr>
          <w:rFonts w:ascii="Times New Roman" w:eastAsia="MS PGothic" w:hAnsi="Times New Roman" w:cs="Times New Roman"/>
          <w:sz w:val="24"/>
          <w:szCs w:val="24"/>
          <w:lang w:val="en-US" w:eastAsia="ja-JP"/>
        </w:rPr>
      </w:pPr>
      <w:r>
        <w:rPr>
          <w:rFonts w:ascii="Calibri" w:hAnsi="Calibri"/>
          <w:b/>
          <w:bCs/>
          <w:color w:val="000000"/>
          <w:shd w:val="clear" w:color="auto" w:fill="FFFF00"/>
          <w:lang w:val="en-US" w:eastAsia="ja-JP"/>
        </w:rPr>
        <w:t>Proposal:</w:t>
      </w:r>
      <w:r>
        <w:rPr>
          <w:rFonts w:ascii="Calibri" w:hAnsi="Calibri"/>
          <w:lang w:val="en-US" w:eastAsia="ja-JP"/>
        </w:rPr>
        <w:t>  If the SL transmission does not use SL HARQ feedback, the UE decides whether to report ACK or NACK</w:t>
      </w:r>
      <w:r>
        <w:rPr>
          <w:rStyle w:val="apple-converted-space"/>
          <w:rFonts w:ascii="Calibri" w:hAnsi="Calibri"/>
          <w:lang w:val="en-US" w:eastAsia="ja-JP"/>
        </w:rPr>
        <w:t> </w:t>
      </w:r>
      <w:r>
        <w:rPr>
          <w:rFonts w:ascii="Calibri" w:hAnsi="Calibri"/>
          <w:lang w:val="en-US" w:eastAsia="ja-JP"/>
        </w:rPr>
        <w:t>(i.e., up to UE implementation).</w:t>
      </w:r>
    </w:p>
    <w:p w14:paraId="3B39DD23" w14:textId="666EC277" w:rsidR="00BB1DB4" w:rsidRDefault="00BB1DB4">
      <w:pPr>
        <w:spacing w:after="0" w:line="240" w:lineRule="auto"/>
        <w:rPr>
          <w:rFonts w:ascii="Arial" w:eastAsiaTheme="minorEastAsia" w:hAnsi="Arial" w:cs="Arial"/>
          <w:sz w:val="36"/>
          <w:szCs w:val="20"/>
          <w:lang w:val="en-GB" w:eastAsia="ja-JP"/>
        </w:rPr>
      </w:pPr>
      <w:r>
        <w:rPr>
          <w:rFonts w:cs="Arial"/>
        </w:rPr>
        <w:br w:type="page"/>
      </w:r>
    </w:p>
    <w:p w14:paraId="4AD5CD0E" w14:textId="4B3EB1F5" w:rsidR="006B24EB" w:rsidRDefault="00B9540F" w:rsidP="00B9540F">
      <w:pPr>
        <w:pStyle w:val="Heading1"/>
        <w:jc w:val="both"/>
        <w:rPr>
          <w:rFonts w:cs="Arial"/>
        </w:rPr>
      </w:pPr>
      <w:r>
        <w:rPr>
          <w:rFonts w:cs="Arial"/>
        </w:rPr>
        <w:t>2</w:t>
      </w:r>
      <w:r>
        <w:rPr>
          <w:rFonts w:cs="Arial"/>
        </w:rPr>
        <w:tab/>
      </w:r>
      <w:r w:rsidR="006B24EB">
        <w:rPr>
          <w:rFonts w:cs="Arial"/>
        </w:rPr>
        <w:t>Summary of the discussion</w:t>
      </w:r>
    </w:p>
    <w:p w14:paraId="464318CF" w14:textId="77777777" w:rsidR="006B24EB" w:rsidRPr="00AD4738" w:rsidRDefault="006B24EB" w:rsidP="006B24EB">
      <w:pPr>
        <w:pStyle w:val="Heading2"/>
        <w:rPr>
          <w:rFonts w:eastAsia="SimSun"/>
          <w:lang w:eastAsia="fi-FI"/>
        </w:rPr>
      </w:pPr>
      <w:r>
        <w:t xml:space="preserve">Issue 1 - </w:t>
      </w:r>
      <w:r w:rsidRPr="00AD4738">
        <w:t>1.1 General aspects</w:t>
      </w:r>
    </w:p>
    <w:p w14:paraId="79F1F2B9" w14:textId="77777777" w:rsidR="006B24EB" w:rsidRDefault="006B24EB" w:rsidP="006B24EB">
      <w:pPr>
        <w:spacing w:after="0" w:line="240" w:lineRule="auto"/>
        <w:ind w:right="300"/>
        <w:rPr>
          <w:lang w:val="en-US"/>
        </w:rPr>
      </w:pPr>
    </w:p>
    <w:p w14:paraId="51F99612" w14:textId="77777777" w:rsidR="006B24EB" w:rsidRDefault="006B24EB" w:rsidP="006B24EB">
      <w:pPr>
        <w:pStyle w:val="Heading3"/>
      </w:pPr>
      <w:r>
        <w:t>Q1: Possible corrections to the agreed formula for dynamic grant and configured grant type-2</w:t>
      </w:r>
      <w:r w:rsidRPr="005A4ED8">
        <w:t xml:space="preserve"> </w:t>
      </w:r>
    </w:p>
    <w:p w14:paraId="047834D6" w14:textId="77777777" w:rsidR="006B24EB" w:rsidRDefault="006B24EB" w:rsidP="006B24EB">
      <w:pPr>
        <w:rPr>
          <w:rFonts w:ascii="Calibri" w:eastAsia="SimSun" w:hAnsi="Calibri" w:cs="Calibri"/>
          <w:lang w:val="en-US" w:eastAsia="ja-JP"/>
        </w:rPr>
      </w:pPr>
      <w:r>
        <w:rPr>
          <w:rFonts w:ascii="Calibri" w:hAnsi="Calibri"/>
          <w:lang w:val="en-US" w:eastAsia="ja-JP"/>
        </w:rPr>
        <w:t>Views:</w:t>
      </w:r>
    </w:p>
    <w:tbl>
      <w:tblPr>
        <w:tblW w:w="0" w:type="auto"/>
        <w:tblCellMar>
          <w:left w:w="0" w:type="dxa"/>
          <w:right w:w="0" w:type="dxa"/>
        </w:tblCellMar>
        <w:tblLook w:val="04A0" w:firstRow="1" w:lastRow="0" w:firstColumn="1" w:lastColumn="0" w:noHBand="0" w:noVBand="1"/>
      </w:tblPr>
      <w:tblGrid>
        <w:gridCol w:w="1178"/>
        <w:gridCol w:w="8441"/>
      </w:tblGrid>
      <w:tr w:rsidR="006B24EB" w14:paraId="7546627C" w14:textId="77777777" w:rsidTr="006B24EB">
        <w:tc>
          <w:tcPr>
            <w:tcW w:w="126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28F9597" w14:textId="77777777" w:rsidR="006B24EB" w:rsidRDefault="006B24EB">
            <w:pPr>
              <w:jc w:val="center"/>
              <w:rPr>
                <w:rFonts w:ascii="Calibri" w:hAnsi="Calibri"/>
                <w:b/>
                <w:bCs/>
                <w:lang w:val="en-US" w:eastAsia="fi-FI"/>
              </w:rPr>
            </w:pPr>
            <w:r>
              <w:rPr>
                <w:rFonts w:ascii="Calibri" w:hAnsi="Calibri"/>
                <w:b/>
                <w:bCs/>
                <w:lang w:val="en-US"/>
              </w:rPr>
              <w:t>Company</w:t>
            </w:r>
          </w:p>
        </w:tc>
        <w:tc>
          <w:tcPr>
            <w:tcW w:w="15026"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96A7CE7" w14:textId="77777777" w:rsidR="006B24EB" w:rsidRDefault="006B24EB">
            <w:pPr>
              <w:jc w:val="center"/>
              <w:rPr>
                <w:rFonts w:ascii="Calibri" w:hAnsi="Calibri"/>
                <w:b/>
                <w:bCs/>
                <w:lang w:val="en-US"/>
              </w:rPr>
            </w:pPr>
            <w:r>
              <w:rPr>
                <w:rFonts w:ascii="Calibri" w:hAnsi="Calibri"/>
                <w:b/>
                <w:bCs/>
                <w:color w:val="000000"/>
                <w:lang w:val="en-US"/>
              </w:rPr>
              <w:t>View</w:t>
            </w:r>
          </w:p>
        </w:tc>
      </w:tr>
      <w:tr w:rsidR="006B24EB" w14:paraId="300E041B" w14:textId="77777777" w:rsidTr="006B24EB">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D3492" w14:textId="77777777" w:rsidR="006B24EB" w:rsidRDefault="006B24EB">
            <w:pPr>
              <w:rPr>
                <w:rFonts w:ascii="Calibri" w:hAnsi="Calibri"/>
                <w:lang w:val="en-US"/>
              </w:rPr>
            </w:pPr>
            <w:r>
              <w:rPr>
                <w:rFonts w:ascii="Calibri" w:hAnsi="Calibri"/>
                <w:color w:val="000000"/>
                <w:lang w:val="en-US"/>
              </w:rPr>
              <w:t>LGE</w:t>
            </w:r>
          </w:p>
        </w:tc>
        <w:tc>
          <w:tcPr>
            <w:tcW w:w="15026" w:type="dxa"/>
            <w:tcBorders>
              <w:top w:val="nil"/>
              <w:left w:val="nil"/>
              <w:bottom w:val="single" w:sz="8" w:space="0" w:color="auto"/>
              <w:right w:val="single" w:sz="8" w:space="0" w:color="auto"/>
            </w:tcBorders>
            <w:tcMar>
              <w:top w:w="0" w:type="dxa"/>
              <w:left w:w="108" w:type="dxa"/>
              <w:bottom w:w="0" w:type="dxa"/>
              <w:right w:w="108" w:type="dxa"/>
            </w:tcMar>
            <w:hideMark/>
          </w:tcPr>
          <w:p w14:paraId="4F1692E4" w14:textId="77777777" w:rsidR="006B24EB" w:rsidRDefault="006B24EB">
            <w:pPr>
              <w:rPr>
                <w:rFonts w:ascii="Calibri" w:hAnsi="Calibri"/>
                <w:lang w:val="en-US"/>
              </w:rPr>
            </w:pPr>
            <w:r>
              <w:rPr>
                <w:rFonts w:ascii="Calibri" w:hAnsi="Calibri"/>
                <w:lang w:val="en-US"/>
              </w:rPr>
              <w:t>The proposal is supported.</w:t>
            </w:r>
          </w:p>
        </w:tc>
      </w:tr>
      <w:tr w:rsidR="006B24EB" w14:paraId="0BD1F05A" w14:textId="77777777" w:rsidTr="006B24EB">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C03A08" w14:textId="77777777" w:rsidR="006B24EB" w:rsidRDefault="006B24EB">
            <w:pPr>
              <w:rPr>
                <w:rFonts w:ascii="Calibri" w:hAnsi="Calibri"/>
                <w:lang w:val="en-US"/>
              </w:rPr>
            </w:pPr>
          </w:p>
        </w:tc>
        <w:tc>
          <w:tcPr>
            <w:tcW w:w="15026" w:type="dxa"/>
            <w:tcBorders>
              <w:top w:val="nil"/>
              <w:left w:val="nil"/>
              <w:bottom w:val="single" w:sz="8" w:space="0" w:color="auto"/>
              <w:right w:val="single" w:sz="8" w:space="0" w:color="auto"/>
            </w:tcBorders>
            <w:tcMar>
              <w:top w:w="0" w:type="dxa"/>
              <w:left w:w="108" w:type="dxa"/>
              <w:bottom w:w="0" w:type="dxa"/>
              <w:right w:w="108" w:type="dxa"/>
            </w:tcMar>
          </w:tcPr>
          <w:p w14:paraId="7D7EFD8C" w14:textId="77777777" w:rsidR="006B24EB" w:rsidRDefault="006B24EB">
            <w:pPr>
              <w:rPr>
                <w:rFonts w:ascii="Calibri" w:hAnsi="Calibri"/>
                <w:lang w:val="en-US"/>
              </w:rPr>
            </w:pPr>
          </w:p>
        </w:tc>
      </w:tr>
      <w:tr w:rsidR="006B24EB" w14:paraId="4FCCFB0E" w14:textId="77777777" w:rsidTr="006B24EB">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FE765A" w14:textId="77777777" w:rsidR="006B24EB" w:rsidRDefault="006B24EB">
            <w:pPr>
              <w:rPr>
                <w:rFonts w:ascii="Calibri" w:hAnsi="Calibri"/>
                <w:lang w:val="en-US"/>
              </w:rPr>
            </w:pPr>
          </w:p>
        </w:tc>
        <w:tc>
          <w:tcPr>
            <w:tcW w:w="15026" w:type="dxa"/>
            <w:tcBorders>
              <w:top w:val="nil"/>
              <w:left w:val="nil"/>
              <w:bottom w:val="single" w:sz="8" w:space="0" w:color="auto"/>
              <w:right w:val="single" w:sz="8" w:space="0" w:color="auto"/>
            </w:tcBorders>
            <w:tcMar>
              <w:top w:w="0" w:type="dxa"/>
              <w:left w:w="108" w:type="dxa"/>
              <w:bottom w:w="0" w:type="dxa"/>
              <w:right w:w="108" w:type="dxa"/>
            </w:tcMar>
          </w:tcPr>
          <w:p w14:paraId="300F2361" w14:textId="77777777" w:rsidR="006B24EB" w:rsidRDefault="006B24EB">
            <w:pPr>
              <w:rPr>
                <w:rFonts w:ascii="Calibri" w:hAnsi="Calibri"/>
                <w:lang w:val="en-US"/>
              </w:rPr>
            </w:pPr>
          </w:p>
        </w:tc>
      </w:tr>
    </w:tbl>
    <w:p w14:paraId="7EE4065E" w14:textId="77777777" w:rsidR="006B24EB" w:rsidRPr="00EF4B5D" w:rsidRDefault="006B24EB" w:rsidP="006B24EB">
      <w:pPr>
        <w:spacing w:line="256" w:lineRule="auto"/>
        <w:rPr>
          <w:rFonts w:cs="Arial"/>
          <w:bCs/>
          <w:lang w:eastAsia="ja-JP"/>
        </w:rPr>
      </w:pPr>
    </w:p>
    <w:p w14:paraId="0CD53046" w14:textId="77777777" w:rsidR="006B24EB" w:rsidRDefault="006B24EB" w:rsidP="006B24EB">
      <w:pPr>
        <w:pStyle w:val="Heading3"/>
        <w:rPr>
          <w:rFonts w:eastAsia="SimSun" w:cs="Calibri"/>
          <w:lang w:val="en-US"/>
        </w:rPr>
      </w:pPr>
      <w:r>
        <w:t>Q2: Determination of the slot of the first sidelink transmission for configured grant type-1</w:t>
      </w:r>
    </w:p>
    <w:tbl>
      <w:tblPr>
        <w:tblW w:w="9629" w:type="dxa"/>
        <w:tblLayout w:type="fixed"/>
        <w:tblCellMar>
          <w:left w:w="0" w:type="dxa"/>
          <w:right w:w="0" w:type="dxa"/>
        </w:tblCellMar>
        <w:tblLook w:val="04A0" w:firstRow="1" w:lastRow="0" w:firstColumn="1" w:lastColumn="0" w:noHBand="0" w:noVBand="1"/>
      </w:tblPr>
      <w:tblGrid>
        <w:gridCol w:w="1197"/>
        <w:gridCol w:w="8432"/>
      </w:tblGrid>
      <w:tr w:rsidR="006B24EB" w14:paraId="6B5ADB70" w14:textId="77777777" w:rsidTr="006B24EB">
        <w:tc>
          <w:tcPr>
            <w:tcW w:w="1197"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CF7E890" w14:textId="77777777" w:rsidR="006B24EB" w:rsidRDefault="006B24EB">
            <w:pPr>
              <w:jc w:val="center"/>
              <w:rPr>
                <w:rFonts w:ascii="Calibri" w:eastAsia="SimSun" w:hAnsi="Calibri" w:cs="Calibri"/>
                <w:b/>
                <w:bCs/>
                <w:lang w:val="en-US" w:eastAsia="fi-FI"/>
              </w:rPr>
            </w:pPr>
            <w:r>
              <w:rPr>
                <w:rFonts w:ascii="Calibri" w:hAnsi="Calibri"/>
                <w:b/>
                <w:bCs/>
                <w:lang w:val="en-US"/>
              </w:rPr>
              <w:t>Company</w:t>
            </w:r>
          </w:p>
        </w:tc>
        <w:tc>
          <w:tcPr>
            <w:tcW w:w="843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DA19841" w14:textId="77777777" w:rsidR="006B24EB" w:rsidRDefault="006B24EB">
            <w:pPr>
              <w:jc w:val="center"/>
              <w:rPr>
                <w:rFonts w:ascii="Calibri" w:hAnsi="Calibri"/>
                <w:b/>
                <w:bCs/>
                <w:lang w:val="en-US"/>
              </w:rPr>
            </w:pPr>
            <w:r>
              <w:rPr>
                <w:rFonts w:ascii="Calibri" w:hAnsi="Calibri"/>
                <w:b/>
                <w:bCs/>
                <w:color w:val="000000"/>
                <w:lang w:val="en-US"/>
              </w:rPr>
              <w:t>View</w:t>
            </w:r>
          </w:p>
        </w:tc>
      </w:tr>
      <w:tr w:rsidR="006B24EB" w14:paraId="77351DC4" w14:textId="77777777" w:rsidTr="006B24EB">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15233" w14:textId="77777777" w:rsidR="006B24EB" w:rsidRDefault="006B24EB">
            <w:pPr>
              <w:spacing w:before="100" w:beforeAutospacing="1" w:after="100" w:afterAutospacing="1"/>
              <w:rPr>
                <w:rFonts w:ascii="SimSun" w:hAnsi="SimSun"/>
                <w:sz w:val="24"/>
                <w:szCs w:val="24"/>
                <w:lang w:val="en-US"/>
              </w:rPr>
            </w:pPr>
            <w:r>
              <w:rPr>
                <w:rFonts w:hint="eastAsia"/>
                <w:lang w:val="en-US"/>
              </w:rPr>
              <w:t>OPPO</w:t>
            </w:r>
          </w:p>
        </w:tc>
        <w:tc>
          <w:tcPr>
            <w:tcW w:w="8432" w:type="dxa"/>
            <w:tcBorders>
              <w:top w:val="nil"/>
              <w:left w:val="nil"/>
              <w:bottom w:val="single" w:sz="8" w:space="0" w:color="auto"/>
              <w:right w:val="single" w:sz="8" w:space="0" w:color="auto"/>
            </w:tcBorders>
            <w:tcMar>
              <w:top w:w="0" w:type="dxa"/>
              <w:left w:w="108" w:type="dxa"/>
              <w:bottom w:w="0" w:type="dxa"/>
              <w:right w:w="108" w:type="dxa"/>
            </w:tcMar>
            <w:hideMark/>
          </w:tcPr>
          <w:p w14:paraId="22DB2168" w14:textId="77777777" w:rsidR="006B24EB" w:rsidRDefault="006B24EB">
            <w:pPr>
              <w:spacing w:before="100" w:beforeAutospacing="1" w:after="100" w:afterAutospacing="1"/>
              <w:rPr>
                <w:rFonts w:ascii="Calibri" w:hAnsi="Calibri" w:hint="eastAsia"/>
                <w:lang w:val="en-US"/>
              </w:rPr>
            </w:pPr>
            <w:r>
              <w:rPr>
                <w:rFonts w:hint="eastAsia"/>
                <w:lang w:val="en-US"/>
              </w:rPr>
              <w:t>We don</w:t>
            </w:r>
            <w:r>
              <w:rPr>
                <w:rFonts w:hint="eastAsia"/>
              </w:rPr>
              <w:t>’</w:t>
            </w:r>
            <w:r>
              <w:rPr>
                <w:rFonts w:hint="eastAsia"/>
                <w:lang w:val="en-US"/>
              </w:rPr>
              <w:t xml:space="preserve">t understand why the first term </w:t>
            </w:r>
            <w:r>
              <w:rPr>
                <w:rFonts w:hint="eastAsia"/>
              </w:rPr>
              <w:t>“</w:t>
            </w:r>
            <w:r>
              <w:rPr>
                <w:rFonts w:ascii="Calibri" w:hAnsi="Calibri"/>
                <w:lang w:val="en-US"/>
              </w:rPr>
              <w:t>timeDomainOffset × numberOfSymbolsPerSlot</w:t>
            </w:r>
            <w:r>
              <w:rPr>
                <w:rFonts w:hint="eastAsia"/>
              </w:rPr>
              <w:t>”</w:t>
            </w:r>
            <w:r>
              <w:rPr>
                <w:rFonts w:hint="eastAsia"/>
                <w:lang w:val="en-US"/>
              </w:rPr>
              <w:t xml:space="preserve">is needed and why the </w:t>
            </w:r>
            <w:r>
              <w:rPr>
                <w:rFonts w:ascii="Calibri" w:hAnsi="Calibri"/>
                <w:lang w:val="en-US"/>
              </w:rPr>
              <w:t xml:space="preserve">timeDomainOffset  is relative to DL SFN=0. </w:t>
            </w:r>
          </w:p>
          <w:p w14:paraId="4B9D5312" w14:textId="77777777" w:rsidR="006B24EB" w:rsidRDefault="006B24EB">
            <w:pPr>
              <w:spacing w:before="100" w:beforeAutospacing="1" w:after="100" w:afterAutospacing="1"/>
              <w:rPr>
                <w:rFonts w:ascii="Calibri" w:hAnsi="Calibri"/>
                <w:lang w:val="x-none"/>
              </w:rPr>
            </w:pPr>
            <w:r>
              <w:rPr>
                <w:rFonts w:ascii="Calibri" w:hAnsi="Calibri"/>
                <w:lang w:val="en-US"/>
              </w:rPr>
              <w:t>For DG and type-2 CG, we have agreed to use the formula to determine the transmission timing of SL</w:t>
            </w:r>
            <w:r>
              <w:rPr>
                <w:rFonts w:hint="eastAsia"/>
                <w:lang w:val="en-US"/>
              </w:rPr>
              <w:t>,</w:t>
            </w:r>
            <m:oMath>
              <m:r>
                <m:rPr>
                  <m:sty m:val="bi"/>
                </m:rPr>
                <w:rPr>
                  <w:rFonts w:ascii="Cambria Math" w:hAnsi="Cambria Math"/>
                  <w:lang w:val="en-US"/>
                </w:rPr>
                <m:t xml:space="preserve"> </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DL</m:t>
                  </m:r>
                </m:sub>
              </m:sSub>
              <m:r>
                <m:rPr>
                  <m:sty m:val="bi"/>
                </m:rPr>
                <w:rPr>
                  <w:rFonts w:ascii="Cambria Math" w:hAnsi="Cambria Math"/>
                  <w:lang w:val="x-none"/>
                </w:rPr>
                <m:t>-</m:t>
              </m:r>
              <m:f>
                <m:fPr>
                  <m:ctrlPr>
                    <w:rPr>
                      <w:rFonts w:ascii="Cambria Math" w:eastAsia="SimSun" w:hAnsi="Cambria Math" w:cs="Calibri"/>
                      <w:b/>
                      <w:bCs/>
                      <w:i/>
                      <w:iCs/>
                      <w:sz w:val="24"/>
                      <w:szCs w:val="24"/>
                    </w:rPr>
                  </m:ctrlPr>
                </m:fPr>
                <m:num>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TA</m:t>
                      </m:r>
                    </m:sub>
                  </m:sSub>
                </m:num>
                <m:den>
                  <m:r>
                    <m:rPr>
                      <m:sty m:val="bi"/>
                    </m:rPr>
                    <w:rPr>
                      <w:rFonts w:ascii="Cambria Math" w:hAnsi="Cambria Math"/>
                      <w:lang w:val="x-none"/>
                    </w:rPr>
                    <m:t>2</m:t>
                  </m:r>
                </m:den>
              </m:f>
              <m:r>
                <m:rPr>
                  <m:sty m:val="bi"/>
                </m:rPr>
                <w:rPr>
                  <w:rFonts w:ascii="Cambria Math" w:hAnsi="Cambria Math"/>
                  <w:lang w:val="x-none"/>
                </w:rPr>
                <m:t>×</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en-US"/>
                    </w:rPr>
                    <m:t>C</m:t>
                  </m:r>
                </m:sub>
              </m:sSub>
              <m:r>
                <m:rPr>
                  <m:sty m:val="bi"/>
                </m:rPr>
                <w:rPr>
                  <w:rFonts w:ascii="Cambria Math" w:hAnsi="Cambria Math"/>
                  <w:lang w:val="x-none"/>
                </w:rPr>
                <m:t>+m×</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slot</m:t>
                  </m:r>
                </m:sub>
              </m:sSub>
            </m:oMath>
            <w:r>
              <w:rPr>
                <w:rFonts w:hint="eastAsia"/>
                <w:lang w:val="en-US"/>
              </w:rPr>
              <w:t xml:space="preserve">,  where </w:t>
            </w:r>
            <w:r>
              <w:rPr>
                <w:rFonts w:ascii="Calibri" w:hAnsi="Calibri"/>
                <w:lang w:val="x-none"/>
              </w:rPr>
              <w:t>T</w:t>
            </w:r>
            <w:r>
              <w:rPr>
                <w:rFonts w:ascii="Calibri" w:hAnsi="Calibri"/>
                <w:vertAlign w:val="subscript"/>
                <w:lang w:val="x-none"/>
              </w:rPr>
              <w:t>DL</w:t>
            </w:r>
            <w:r>
              <w:rPr>
                <w:rFonts w:ascii="Calibri" w:hAnsi="Calibri"/>
                <w:lang w:val="x-none"/>
              </w:rPr>
              <w:t xml:space="preserve"> is </w:t>
            </w:r>
            <w:r>
              <w:rPr>
                <w:rFonts w:ascii="Calibri" w:hAnsi="Calibri"/>
                <w:lang w:val="en-US"/>
              </w:rPr>
              <w:t xml:space="preserve">starting time of the slot carrying the corresponding DCI. According to the explanation of T_DL, it is not relative to DL SFN or SL DFN, it is an absolute time in time domain corresponding the DCI. Based on the absolute time of T_DL, </w:t>
            </w:r>
            <m:oMath>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DL</m:t>
                  </m:r>
                </m:sub>
              </m:sSub>
              <m:r>
                <m:rPr>
                  <m:sty m:val="bi"/>
                </m:rPr>
                <w:rPr>
                  <w:rFonts w:ascii="Cambria Math" w:hAnsi="Cambria Math"/>
                  <w:lang w:val="x-none"/>
                </w:rPr>
                <m:t>-</m:t>
              </m:r>
              <m:f>
                <m:fPr>
                  <m:ctrlPr>
                    <w:rPr>
                      <w:rFonts w:ascii="Cambria Math" w:eastAsia="SimSun" w:hAnsi="Cambria Math" w:cs="Calibri"/>
                      <w:b/>
                      <w:bCs/>
                      <w:i/>
                      <w:iCs/>
                      <w:sz w:val="24"/>
                      <w:szCs w:val="24"/>
                    </w:rPr>
                  </m:ctrlPr>
                </m:fPr>
                <m:num>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TA</m:t>
                      </m:r>
                    </m:sub>
                  </m:sSub>
                </m:num>
                <m:den>
                  <m:r>
                    <m:rPr>
                      <m:sty m:val="bi"/>
                    </m:rPr>
                    <w:rPr>
                      <w:rFonts w:ascii="Cambria Math" w:hAnsi="Cambria Math"/>
                      <w:lang w:val="x-none"/>
                    </w:rPr>
                    <m:t>2</m:t>
                  </m:r>
                </m:den>
              </m:f>
              <m:r>
                <m:rPr>
                  <m:sty m:val="bi"/>
                </m:rPr>
                <w:rPr>
                  <w:rFonts w:ascii="Cambria Math" w:hAnsi="Cambria Math"/>
                  <w:lang w:val="x-none"/>
                </w:rPr>
                <m:t>×</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en-US"/>
                    </w:rPr>
                    <m:t>C</m:t>
                  </m:r>
                </m:sub>
              </m:sSub>
              <m:r>
                <m:rPr>
                  <m:sty m:val="bi"/>
                </m:rPr>
                <w:rPr>
                  <w:rFonts w:ascii="Cambria Math" w:hAnsi="Cambria Math"/>
                  <w:lang w:val="x-none"/>
                </w:rPr>
                <m:t>+m×</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slot</m:t>
                  </m:r>
                </m:sub>
              </m:sSub>
            </m:oMath>
            <w:r>
              <w:rPr>
                <w:rFonts w:ascii="Calibri" w:hAnsi="Calibri"/>
                <w:lang w:val="en-US"/>
              </w:rPr>
              <w:t xml:space="preserve">  corresponds to another absolute time T1. T1 corresponds to a SL slot n, then </w:t>
            </w:r>
            <w:r>
              <w:rPr>
                <w:rFonts w:ascii="Calibri" w:hAnsi="Calibri"/>
                <w:lang w:val="x-none"/>
              </w:rPr>
              <w:t xml:space="preserve">the first sidelink transmission is the </w:t>
            </w:r>
            <w:r>
              <w:rPr>
                <w:rFonts w:ascii="Calibri" w:hAnsi="Calibri"/>
                <w:lang w:val="en-US"/>
              </w:rPr>
              <w:t xml:space="preserve">in the first </w:t>
            </w:r>
            <w:r>
              <w:rPr>
                <w:rFonts w:ascii="Calibri" w:hAnsi="Calibri"/>
                <w:lang w:val="x-none"/>
              </w:rPr>
              <w:t xml:space="preserve">SL slot </w:t>
            </w:r>
            <w:r>
              <w:rPr>
                <w:rFonts w:ascii="Calibri" w:hAnsi="Calibri"/>
                <w:lang w:val="en-US"/>
              </w:rPr>
              <w:t xml:space="preserve">of the corresponding resource pool </w:t>
            </w:r>
            <w:r>
              <w:rPr>
                <w:rFonts w:ascii="Calibri" w:hAnsi="Calibri"/>
                <w:lang w:val="x-none"/>
              </w:rPr>
              <w:t xml:space="preserve">that starts not earlier than (or after) the SL slot n. </w:t>
            </w:r>
          </w:p>
          <w:p w14:paraId="6D88AD88" w14:textId="77777777" w:rsidR="006B24EB" w:rsidRDefault="006B24EB">
            <w:pPr>
              <w:spacing w:before="100" w:beforeAutospacing="1" w:after="100" w:afterAutospacing="1"/>
              <w:rPr>
                <w:rFonts w:ascii="Calibri" w:hAnsi="Calibri"/>
                <w:lang w:val="en-US"/>
              </w:rPr>
            </w:pPr>
            <w:r>
              <w:rPr>
                <w:rFonts w:ascii="Calibri" w:hAnsi="Calibri"/>
                <w:lang w:val="x-none"/>
              </w:rPr>
              <w:t xml:space="preserve">Following the same logic, for type-1 CG, we can use similar formula as DG and type-2 CG to derive the transmission timing: </w:t>
            </w:r>
            <m:oMath>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DL</m:t>
                  </m:r>
                </m:sub>
              </m:sSub>
              <m:r>
                <m:rPr>
                  <m:sty m:val="bi"/>
                </m:rPr>
                <w:rPr>
                  <w:rFonts w:ascii="Cambria Math" w:hAnsi="Cambria Math"/>
                  <w:lang w:val="x-none"/>
                </w:rPr>
                <m:t>-</m:t>
              </m:r>
              <m:f>
                <m:fPr>
                  <m:ctrlPr>
                    <w:rPr>
                      <w:rFonts w:ascii="Cambria Math" w:eastAsia="SimSun" w:hAnsi="Cambria Math" w:cs="Calibri"/>
                      <w:b/>
                      <w:bCs/>
                      <w:i/>
                      <w:iCs/>
                      <w:sz w:val="24"/>
                      <w:szCs w:val="24"/>
                    </w:rPr>
                  </m:ctrlPr>
                </m:fPr>
                <m:num>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TA</m:t>
                      </m:r>
                    </m:sub>
                  </m:sSub>
                </m:num>
                <m:den>
                  <m:r>
                    <m:rPr>
                      <m:sty m:val="bi"/>
                    </m:rPr>
                    <w:rPr>
                      <w:rFonts w:ascii="Cambria Math" w:hAnsi="Cambria Math"/>
                      <w:lang w:val="x-none"/>
                    </w:rPr>
                    <m:t>2</m:t>
                  </m:r>
                </m:den>
              </m:f>
              <m:r>
                <m:rPr>
                  <m:sty m:val="bi"/>
                </m:rPr>
                <w:rPr>
                  <w:rFonts w:ascii="Cambria Math" w:hAnsi="Cambria Math"/>
                  <w:lang w:val="x-none"/>
                </w:rPr>
                <m:t>×</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en-US"/>
                    </w:rPr>
                    <m:t>C</m:t>
                  </m:r>
                </m:sub>
              </m:sSub>
              <m:r>
                <m:rPr>
                  <m:sty m:val="bi"/>
                </m:rPr>
                <w:rPr>
                  <w:rFonts w:ascii="Cambria Math" w:hAnsi="Cambria Math"/>
                  <w:lang w:val="x-none"/>
                </w:rPr>
                <m:t>+k×</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slot</m:t>
                  </m:r>
                </m:sub>
              </m:sSub>
            </m:oMath>
            <w:r>
              <w:rPr>
                <w:rFonts w:ascii="Calibri" w:hAnsi="Calibri"/>
                <w:b/>
                <w:bCs/>
                <w:lang w:val="en-US"/>
              </w:rPr>
              <w:t xml:space="preserve">, where </w:t>
            </w:r>
            <w:r>
              <w:rPr>
                <w:rFonts w:ascii="Calibri" w:hAnsi="Calibri"/>
                <w:lang w:val="x-none"/>
              </w:rPr>
              <w:t>T</w:t>
            </w:r>
            <w:r>
              <w:rPr>
                <w:rFonts w:ascii="Calibri" w:hAnsi="Calibri"/>
                <w:vertAlign w:val="subscript"/>
                <w:lang w:val="x-none"/>
              </w:rPr>
              <w:t>DL</w:t>
            </w:r>
            <w:r>
              <w:rPr>
                <w:rFonts w:ascii="Calibri" w:hAnsi="Calibri"/>
                <w:lang w:val="x-none"/>
              </w:rPr>
              <w:t xml:space="preserve"> is </w:t>
            </w:r>
            <w:r>
              <w:rPr>
                <w:rFonts w:ascii="Calibri" w:hAnsi="Calibri"/>
                <w:lang w:val="en-US"/>
              </w:rPr>
              <w:t xml:space="preserve">starting time of the slot carrying the corresponding RRC,  and k is an parameter depends on UE processing capability. </w:t>
            </w:r>
          </w:p>
          <w:p w14:paraId="2F762C00" w14:textId="77777777" w:rsidR="006B24EB" w:rsidRDefault="006B24EB">
            <w:pPr>
              <w:spacing w:before="100" w:beforeAutospacing="1" w:after="100" w:afterAutospacing="1"/>
              <w:rPr>
                <w:rFonts w:ascii="Calibri" w:hAnsi="Calibri"/>
                <w:b/>
                <w:bCs/>
                <w:color w:val="FF0000"/>
                <w:lang w:val="en-US"/>
              </w:rPr>
            </w:pPr>
            <w:r>
              <w:rPr>
                <w:rFonts w:ascii="Calibri" w:hAnsi="Calibri"/>
                <w:b/>
                <w:bCs/>
                <w:color w:val="FF0000"/>
                <w:lang w:val="en-US"/>
              </w:rPr>
              <w:t>FL reply:</w:t>
            </w:r>
          </w:p>
          <w:p w14:paraId="6382BD8F" w14:textId="77777777" w:rsidR="006B24EB" w:rsidRDefault="006B24EB">
            <w:pPr>
              <w:spacing w:before="100" w:beforeAutospacing="1" w:after="100" w:afterAutospacing="1"/>
              <w:rPr>
                <w:rFonts w:ascii="Calibri" w:hAnsi="Calibri"/>
                <w:color w:val="FF0000"/>
                <w:lang w:val="en-US"/>
              </w:rPr>
            </w:pPr>
            <w:r>
              <w:rPr>
                <w:rFonts w:ascii="Calibri" w:hAnsi="Calibri"/>
                <w:color w:val="FF0000"/>
                <w:lang w:val="en-US"/>
              </w:rPr>
              <w:t>The offset has to be relative to SFN=0 because in the asynchronous case the gNB does not know the relationship between DFN and SFN. So the gNB would be scheduling UEs in different slots but it would not know when the transmissions take place. I invite you to check some of the replies that discussed this issue such as LGE’s.</w:t>
            </w:r>
          </w:p>
          <w:p w14:paraId="29AF14AE" w14:textId="77777777" w:rsidR="006B24EB" w:rsidRDefault="006B24EB">
            <w:pPr>
              <w:spacing w:before="100" w:beforeAutospacing="1" w:after="100" w:afterAutospacing="1"/>
              <w:rPr>
                <w:rFonts w:ascii="Calibri" w:hAnsi="Calibri"/>
                <w:color w:val="FF0000"/>
                <w:lang w:val="en-US"/>
              </w:rPr>
            </w:pPr>
            <w:r>
              <w:rPr>
                <w:rFonts w:ascii="Calibri" w:hAnsi="Calibri"/>
                <w:color w:val="FF0000"/>
                <w:lang w:val="en-US"/>
              </w:rPr>
              <w:t>I disagree that T</w:t>
            </w:r>
            <w:r>
              <w:rPr>
                <w:rFonts w:ascii="Calibri" w:hAnsi="Calibri"/>
                <w:color w:val="FF0000"/>
                <w:vertAlign w:val="subscript"/>
                <w:lang w:val="en-US"/>
              </w:rPr>
              <w:t>DL</w:t>
            </w:r>
            <w:r>
              <w:rPr>
                <w:rFonts w:ascii="Calibri" w:hAnsi="Calibri"/>
                <w:color w:val="FF0000"/>
                <w:lang w:val="en-US"/>
              </w:rPr>
              <w:t xml:space="preserve"> can be taken as the slot carrying the corresponding RRC for multiple reasons: 1) the RRC layer (and the MAC layer, which in the end is responsible for the grant) has no knowledge of when a TB was processed in the lower layers; 2) how would this work if the TB carrying the RRC message is retransmitted?</w:t>
            </w:r>
          </w:p>
          <w:p w14:paraId="3CB9291C" w14:textId="77777777" w:rsidR="006B24EB" w:rsidRDefault="006B24EB">
            <w:pPr>
              <w:spacing w:before="100" w:beforeAutospacing="1" w:after="100" w:afterAutospacing="1"/>
              <w:rPr>
                <w:rFonts w:ascii="Calibri" w:hAnsi="Calibri"/>
                <w:lang w:val="en-US"/>
              </w:rPr>
            </w:pPr>
            <w:r>
              <w:rPr>
                <w:rFonts w:ascii="Calibri" w:hAnsi="Calibri"/>
                <w:highlight w:val="yellow"/>
                <w:lang w:val="en-US"/>
              </w:rPr>
              <w:t>[OPPO]</w:t>
            </w:r>
            <w:r>
              <w:rPr>
                <w:rFonts w:ascii="Calibri" w:hAnsi="Calibri"/>
                <w:lang w:val="en-US"/>
              </w:rPr>
              <w:t xml:space="preserve"> Let me use the following figure to explain our view. Figure (a) is for DG ,and figure (b) is for type-1 CG. The timing for SL and Uu is asynchronized. For simplicity, the T_TA factor is not included in the figure.</w:t>
            </w:r>
          </w:p>
          <w:p w14:paraId="266ADF1B" w14:textId="77777777" w:rsidR="006B24EB" w:rsidRDefault="006B24EB">
            <w:pPr>
              <w:spacing w:before="100" w:beforeAutospacing="1" w:after="100" w:afterAutospacing="1"/>
              <w:rPr>
                <w:rFonts w:ascii="Calibri" w:hAnsi="Calibri"/>
                <w:lang w:val="en-US"/>
              </w:rPr>
            </w:pPr>
            <w:r>
              <w:rPr>
                <w:rFonts w:ascii="Calibri" w:hAnsi="Calibri"/>
                <w:lang w:val="en-US"/>
              </w:rPr>
              <w:t>In our view, all of the timing for SL transmission should be based on the timing of SL. For DG, the DCI is received at T_DL. T_DL can be seen as an absolute time. It can correspond to SFN#a  in Uu and DFN#b in SL if Uu and SL are not synchronized. According to the agreement, the first SL transmission is the first available resource within the resource pool no earlier than T_DL + m*slot.</w:t>
            </w:r>
          </w:p>
          <w:p w14:paraId="6CFDD0AB" w14:textId="77777777" w:rsidR="006B24EB" w:rsidRDefault="006B24EB">
            <w:pPr>
              <w:spacing w:before="100" w:beforeAutospacing="1" w:after="100" w:afterAutospacing="1"/>
              <w:rPr>
                <w:rFonts w:ascii="Calibri" w:hAnsi="Calibri"/>
                <w:lang w:val="en-US"/>
              </w:rPr>
            </w:pPr>
            <w:r>
              <w:rPr>
                <w:rFonts w:ascii="Calibri" w:hAnsi="Calibri"/>
                <w:lang w:val="en-US"/>
              </w:rPr>
              <w:t xml:space="preserve">For type-1 CG, the similar mechanism as DG can be used. The RRC signaling is received at T_DL, it can also be seen as an absolute time, which corresponds to SFN#c in Uu and DFN#d in SL. The first SL transmission of the CG is the first available resource within the resource pool no earlier than T_DL + Y*slot.  The parameter Y can be up to UE processing time. once the first is determined, the later SL can be determined by the CG period. </w:t>
            </w:r>
          </w:p>
          <w:p w14:paraId="603B235C" w14:textId="77777777" w:rsidR="006B24EB" w:rsidRDefault="006B24EB">
            <w:pPr>
              <w:spacing w:before="100" w:beforeAutospacing="1" w:after="100" w:afterAutospacing="1"/>
              <w:rPr>
                <w:rFonts w:ascii="Calibri" w:hAnsi="Calibri"/>
                <w:lang w:val="en-US"/>
              </w:rPr>
            </w:pPr>
            <w:r>
              <w:rPr>
                <w:rFonts w:ascii="Calibri" w:hAnsi="Calibri"/>
                <w:lang w:val="en-US"/>
              </w:rPr>
              <w:t xml:space="preserve">If RRC is re-transmitted N times, that means UE cannot decode the previous N-1 transmissions. The T_DL corresponds to the time that RRC is correctly received by the UE. </w:t>
            </w:r>
          </w:p>
          <w:p w14:paraId="57C86859" w14:textId="77777777" w:rsidR="006B24EB" w:rsidRDefault="006B24EB">
            <w:pPr>
              <w:spacing w:before="100" w:beforeAutospacing="1" w:after="100" w:afterAutospacing="1"/>
              <w:rPr>
                <w:rFonts w:ascii="Calibri" w:hAnsi="Calibri"/>
                <w:lang w:val="en-US"/>
              </w:rPr>
            </w:pPr>
            <w:r>
              <w:rPr>
                <w:rFonts w:ascii="Calibri" w:hAnsi="Calibri"/>
                <w:lang w:val="en-US"/>
              </w:rPr>
              <w:t>I am a lit confused by the sentence “</w:t>
            </w:r>
            <w:r>
              <w:rPr>
                <w:rFonts w:ascii="Calibri" w:hAnsi="Calibri"/>
                <w:color w:val="FF0000"/>
                <w:lang w:val="en-US"/>
              </w:rPr>
              <w:t>in the asynchronous case the gNB does not know the relationship between DFN and SFN</w:t>
            </w:r>
            <w:r>
              <w:rPr>
                <w:rFonts w:ascii="Calibri" w:hAnsi="Calibri"/>
                <w:lang w:val="en-US"/>
              </w:rPr>
              <w:t xml:space="preserve">” .  what’s the issue if gNB does not know the transmission timing of SL. If gNB does not configure PUCCH resource, the SL transmission is decoupled with gNB. gNB does not need to know the timing of SL transmission. If gNB configure PUCCH resource, how to handle that has been discussed in Q4. We can find answer there. </w:t>
            </w:r>
          </w:p>
          <w:p w14:paraId="3E57F5B3" w14:textId="2A2FE159" w:rsidR="006B24EB" w:rsidRDefault="006B24EB">
            <w:pPr>
              <w:spacing w:before="100" w:beforeAutospacing="1" w:after="100" w:afterAutospacing="1"/>
              <w:rPr>
                <w:rFonts w:ascii="Calibri" w:hAnsi="Calibri"/>
                <w:lang w:val="en-US"/>
              </w:rPr>
            </w:pPr>
            <w:r>
              <w:rPr>
                <w:rFonts w:ascii="Calibri" w:hAnsi="Calibri"/>
                <w:noProof/>
                <w:lang w:val="en-US"/>
              </w:rPr>
              <w:drawing>
                <wp:inline distT="0" distB="0" distL="0" distR="0" wp14:anchorId="57C0DD55" wp14:editId="3A42A7E5">
                  <wp:extent cx="4838700" cy="537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838700" cy="5372100"/>
                          </a:xfrm>
                          <a:prstGeom prst="rect">
                            <a:avLst/>
                          </a:prstGeom>
                          <a:noFill/>
                          <a:ln>
                            <a:noFill/>
                          </a:ln>
                        </pic:spPr>
                      </pic:pic>
                    </a:graphicData>
                  </a:graphic>
                </wp:inline>
              </w:drawing>
            </w:r>
          </w:p>
          <w:p w14:paraId="4F79A5EC" w14:textId="77777777" w:rsidR="006B24EB" w:rsidRDefault="006B24EB">
            <w:pPr>
              <w:spacing w:before="100" w:beforeAutospacing="1" w:after="100" w:afterAutospacing="1"/>
              <w:rPr>
                <w:rFonts w:ascii="Calibri" w:hAnsi="Calibri"/>
                <w:b/>
                <w:bCs/>
                <w:color w:val="FF0000"/>
                <w:lang w:val="en-US"/>
              </w:rPr>
            </w:pPr>
            <w:r>
              <w:rPr>
                <w:rFonts w:ascii="Calibri" w:hAnsi="Calibri"/>
                <w:b/>
                <w:bCs/>
                <w:color w:val="FF0000"/>
                <w:lang w:val="en-US"/>
              </w:rPr>
              <w:t>FL reply:</w:t>
            </w:r>
          </w:p>
          <w:p w14:paraId="08DF3D08" w14:textId="77777777" w:rsidR="006B24EB" w:rsidRDefault="006B24EB">
            <w:pPr>
              <w:spacing w:before="100" w:beforeAutospacing="1" w:after="100" w:afterAutospacing="1"/>
              <w:rPr>
                <w:rFonts w:ascii="Calibri" w:hAnsi="Calibri"/>
                <w:lang w:val="en-US"/>
              </w:rPr>
            </w:pPr>
            <w:r>
              <w:rPr>
                <w:rFonts w:ascii="Calibri" w:hAnsi="Calibri"/>
                <w:color w:val="FF0000"/>
                <w:lang w:val="en-US"/>
              </w:rPr>
              <w:t>I still disagree that this can work, as I have expressed before. Time of decoding an RRC message cannot be used as a reference. Just take a look at configured grant for UL. Type-2 is activated based on DCI decoding time; whereas Type-1 is RRC configured using an offset relative to SFN. In any case, looking at the contributions it seems that the approach is not nearly as widely supported as using a configuration similar to the one used for Type-1 CG. I encourage you to reconsider your position given that we are expected to close this discussion today.</w:t>
            </w:r>
          </w:p>
        </w:tc>
      </w:tr>
      <w:tr w:rsidR="006B24EB" w14:paraId="6A5ECD1C" w14:textId="77777777" w:rsidTr="006B24EB">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3DB71" w14:textId="77777777" w:rsidR="006B24EB" w:rsidRDefault="006B24EB">
            <w:pPr>
              <w:spacing w:before="100" w:beforeAutospacing="1" w:after="100" w:afterAutospacing="1"/>
              <w:rPr>
                <w:rFonts w:ascii="SimSun" w:hAnsi="SimSun"/>
                <w:sz w:val="24"/>
                <w:szCs w:val="24"/>
                <w:lang w:val="en-US"/>
              </w:rPr>
            </w:pPr>
            <w:r>
              <w:rPr>
                <w:rFonts w:ascii="Calibri" w:hAnsi="Calibri"/>
                <w:lang w:val="en-US"/>
              </w:rPr>
              <w:t>HW, HiSi</w:t>
            </w:r>
          </w:p>
        </w:tc>
        <w:tc>
          <w:tcPr>
            <w:tcW w:w="8432" w:type="dxa"/>
            <w:tcBorders>
              <w:top w:val="nil"/>
              <w:left w:val="nil"/>
              <w:bottom w:val="single" w:sz="8" w:space="0" w:color="auto"/>
              <w:right w:val="single" w:sz="8" w:space="0" w:color="auto"/>
            </w:tcBorders>
            <w:tcMar>
              <w:top w:w="0" w:type="dxa"/>
              <w:left w:w="108" w:type="dxa"/>
              <w:bottom w:w="0" w:type="dxa"/>
              <w:right w:w="108" w:type="dxa"/>
            </w:tcMar>
          </w:tcPr>
          <w:p w14:paraId="33C665FA" w14:textId="77777777" w:rsidR="006B24EB" w:rsidRDefault="006B24EB">
            <w:pPr>
              <w:ind w:right="300"/>
              <w:rPr>
                <w:rFonts w:ascii="Calibri" w:hAnsi="Calibri" w:hint="eastAsia"/>
                <w:lang w:val="x-none"/>
              </w:rPr>
            </w:pPr>
            <w:r>
              <w:rPr>
                <w:rFonts w:ascii="Calibri" w:hAnsi="Calibri"/>
                <w:lang w:val="en-US"/>
              </w:rPr>
              <w:t xml:space="preserve">As highlighted in your summary, almost every company has expressed the view that the Uu procedure should be reused as much as possible. BTW, this Uu procedure is described in 38.321 and I invite companies to check it. However, the proposed formula in FL summary does not follow the Uu procedure. E.g. </w:t>
            </w:r>
            <w:r>
              <w:rPr>
                <w:rFonts w:ascii="Calibri" w:hAnsi="Calibri"/>
                <w:lang w:val="x-none"/>
              </w:rPr>
              <w:t>the Toffset in the proposal is defined i</w:t>
            </w:r>
            <w:r>
              <w:rPr>
                <w:rFonts w:ascii="Calibri" w:hAnsi="Calibri"/>
                <w:lang w:val="en-US"/>
              </w:rPr>
              <w:t>n terms of</w:t>
            </w:r>
            <w:r>
              <w:rPr>
                <w:rFonts w:ascii="Calibri" w:hAnsi="Calibri"/>
                <w:lang w:val="x-none"/>
              </w:rPr>
              <w:t xml:space="preserve"> symbols,</w:t>
            </w:r>
            <w:r>
              <w:rPr>
                <w:rFonts w:ascii="Calibri" w:hAnsi="Calibri"/>
                <w:lang w:val="en-US"/>
              </w:rPr>
              <w:t xml:space="preserve"> however, </w:t>
            </w:r>
            <w:r>
              <w:rPr>
                <w:rFonts w:ascii="Calibri" w:hAnsi="Calibri"/>
                <w:lang w:val="x-none"/>
              </w:rPr>
              <w:t xml:space="preserve">since the time domain resource of the sidelink configured grant is based on slot granularity, the CG resource should be also based on slot level as </w:t>
            </w:r>
            <w:r>
              <w:rPr>
                <w:rFonts w:ascii="Calibri" w:hAnsi="Calibri"/>
                <w:lang w:val="en-US"/>
              </w:rPr>
              <w:t>is the case in Uu CG. Our proposed formula takes the above into account. We first determine the Uu starting slot index for each period of the configured grant (i.e. determine SFN and slot number in the frame corresponding to this Uu slot) such that:</w:t>
            </w:r>
          </w:p>
          <w:p w14:paraId="5D42FF2F" w14:textId="77777777" w:rsidR="006B24EB" w:rsidRDefault="006B24EB">
            <w:pPr>
              <w:pStyle w:val="ListParagraph"/>
              <w:autoSpaceDE w:val="0"/>
              <w:autoSpaceDN w:val="0"/>
              <w:snapToGrid w:val="0"/>
              <w:spacing w:after="120"/>
              <w:ind w:left="420"/>
            </w:pPr>
            <w:r>
              <w:rPr>
                <w:b/>
                <w:bCs/>
                <w:lang w:val="en-US"/>
              </w:rPr>
              <w:t xml:space="preserve">Uu starting slot index = </w:t>
            </w:r>
            <w:r>
              <w:t>(</w:t>
            </w:r>
            <w:r>
              <w:rPr>
                <w:i/>
                <w:iCs/>
              </w:rPr>
              <w:t>numberOfSlotsPerFrame</w:t>
            </w:r>
            <w:r>
              <w:t xml:space="preserve"> × SFN + slot number in the frame) =</w:t>
            </w:r>
            <w:r>
              <w:br/>
              <w:t>(</w:t>
            </w:r>
            <w:r>
              <w:rPr>
                <w:i/>
                <w:iCs/>
              </w:rPr>
              <w:t>timeDomainOffset</w:t>
            </w:r>
            <w:r>
              <w:t xml:space="preserve"> + N × </w:t>
            </w:r>
            <w:r>
              <w:rPr>
                <w:i/>
                <w:iCs/>
              </w:rPr>
              <w:t>periodicity</w:t>
            </w:r>
            <w:r>
              <w:t xml:space="preserve"> × </w:t>
            </w:r>
            <w:r>
              <w:rPr>
                <w:i/>
                <w:iCs/>
              </w:rPr>
              <w:t>numberOfSlotsPerFrame</w:t>
            </w:r>
            <w:r>
              <w:t xml:space="preserve"> / 10) modulo (1024 × </w:t>
            </w:r>
            <w:r>
              <w:rPr>
                <w:i/>
                <w:iCs/>
              </w:rPr>
              <w:t>numberOfSlotsPerFrame</w:t>
            </w:r>
            <w:r>
              <w:t>), for all N &gt;= 0</w:t>
            </w:r>
          </w:p>
          <w:p w14:paraId="6E44A655" w14:textId="77777777" w:rsidR="006B24EB" w:rsidRDefault="006B24EB">
            <w:pPr>
              <w:pStyle w:val="ListParagraph"/>
              <w:autoSpaceDE w:val="0"/>
              <w:autoSpaceDN w:val="0"/>
              <w:snapToGrid w:val="0"/>
              <w:spacing w:after="120"/>
              <w:ind w:left="0"/>
              <w:rPr>
                <w:sz w:val="20"/>
                <w:szCs w:val="20"/>
              </w:rPr>
            </w:pPr>
            <w:r>
              <w:rPr>
                <w:lang w:val="en-US"/>
              </w:rPr>
              <w:t xml:space="preserve">wherein </w:t>
            </w:r>
            <w:r>
              <w:t xml:space="preserve">, </w:t>
            </w:r>
            <w:r>
              <w:rPr>
                <w:i/>
                <w:iCs/>
              </w:rPr>
              <w:t>numberOfSlotsPerFrame</w:t>
            </w:r>
            <w:r>
              <w:t xml:space="preserve"> refers to the number of consecutive slots per frame as specified in TS 38.211 [1], </w:t>
            </w:r>
            <w:r>
              <w:rPr>
                <w:i/>
                <w:iCs/>
              </w:rPr>
              <w:t>timeDomainOffset</w:t>
            </w:r>
            <w:r>
              <w:t xml:space="preserve"> and </w:t>
            </w:r>
            <w:r>
              <w:rPr>
                <w:i/>
                <w:iCs/>
              </w:rPr>
              <w:t>periodicity</w:t>
            </w:r>
            <w:r>
              <w:t xml:space="preserve"> are provided by higher layer parameters  </w:t>
            </w:r>
            <w:r>
              <w:rPr>
                <w:i/>
                <w:iCs/>
              </w:rPr>
              <w:t>sl-PeriodCG</w:t>
            </w:r>
            <w:r>
              <w:t xml:space="preserve"> and</w:t>
            </w:r>
            <w:r>
              <w:rPr>
                <w:i/>
                <w:iCs/>
              </w:rPr>
              <w:t xml:space="preserve"> sl-TimeOffsetCG-Type1</w:t>
            </w:r>
            <w:r>
              <w:t>, respectively, and N is an integer. The unit of periodicity can be ms (</w:t>
            </w:r>
            <w:r>
              <w:rPr>
                <w:lang w:val="en-US"/>
              </w:rPr>
              <w:t xml:space="preserve">i.e. </w:t>
            </w:r>
            <w:r>
              <w:t>independent of numerology).</w:t>
            </w:r>
          </w:p>
          <w:p w14:paraId="5AADF92C" w14:textId="77777777" w:rsidR="006B24EB" w:rsidRDefault="006B24EB">
            <w:pPr>
              <w:ind w:right="300"/>
              <w:rPr>
                <w:rFonts w:ascii="Calibri" w:hAnsi="Calibri"/>
                <w:lang w:val="en-US"/>
              </w:rPr>
            </w:pPr>
            <w:r>
              <w:rPr>
                <w:rFonts w:ascii="Calibri" w:hAnsi="Calibri"/>
                <w:lang w:val="en-US"/>
              </w:rPr>
              <w:t>Then, f</w:t>
            </w:r>
            <w:r>
              <w:rPr>
                <w:rFonts w:ascii="Calibri" w:hAnsi="Calibri"/>
                <w:lang w:val="x-none"/>
              </w:rPr>
              <w:t xml:space="preserve">or each starting Uu slot index corresponding to </w:t>
            </w:r>
            <w:r>
              <w:rPr>
                <w:rFonts w:ascii="Calibri" w:hAnsi="Calibri"/>
                <w:lang w:val="en-US"/>
              </w:rPr>
              <w:t xml:space="preserve">some value of </w:t>
            </w:r>
            <w:r>
              <w:rPr>
                <w:rFonts w:ascii="Calibri" w:hAnsi="Calibri"/>
                <w:lang w:val="x-none"/>
              </w:rPr>
              <w:t xml:space="preserve">N, the SL slots of the configured grant is the first SL slot of the resource pool that starts not earlier than </w:t>
            </w:r>
            <m:oMath>
              <m:sSub>
                <m:sSubPr>
                  <m:ctrlPr>
                    <w:rPr>
                      <w:rFonts w:ascii="Cambria Math" w:eastAsia="SimSun" w:hAnsi="Cambria Math" w:cs="Calibri"/>
                    </w:rPr>
                  </m:ctrlPr>
                </m:sSubPr>
                <m:e>
                  <m:r>
                    <w:rPr>
                      <w:rFonts w:ascii="Cambria Math" w:hAnsi="Cambria Math"/>
                      <w:lang w:val="x-none"/>
                    </w:rPr>
                    <m:t>T</m:t>
                  </m:r>
                </m:e>
                <m:sub>
                  <m:r>
                    <m:rPr>
                      <m:sty m:val="p"/>
                    </m:rPr>
                    <w:rPr>
                      <w:rFonts w:ascii="Cambria Math" w:hAnsi="Cambria Math"/>
                      <w:lang w:val="x-none"/>
                    </w:rPr>
                    <m:t>DL</m:t>
                  </m:r>
                  <m:r>
                    <m:rPr>
                      <m:nor/>
                    </m:rPr>
                    <w:rPr>
                      <w:rFonts w:ascii="Calibri" w:hAnsi="Calibri"/>
                      <w:lang w:val="x-none"/>
                    </w:rPr>
                    <m:t>_CG</m:t>
                  </m:r>
                </m:sub>
              </m:sSub>
              <m:r>
                <m:rPr>
                  <m:sty m:val="p"/>
                </m:rPr>
                <w:rPr>
                  <w:rFonts w:ascii="Cambria Math" w:hAnsi="Cambria Math"/>
                  <w:lang w:val="x-none"/>
                </w:rPr>
                <m:t>-</m:t>
              </m:r>
              <m:f>
                <m:fPr>
                  <m:ctrlPr>
                    <w:rPr>
                      <w:rFonts w:ascii="Cambria Math" w:eastAsia="SimSun" w:hAnsi="Cambria Math" w:cs="Calibri"/>
                    </w:rPr>
                  </m:ctrlPr>
                </m:fPr>
                <m:num>
                  <m:sSub>
                    <m:sSubPr>
                      <m:ctrlPr>
                        <w:rPr>
                          <w:rFonts w:ascii="Cambria Math" w:eastAsia="SimSun" w:hAnsi="Cambria Math" w:cs="Calibri"/>
                        </w:rPr>
                      </m:ctrlPr>
                    </m:sSubPr>
                    <m:e>
                      <m:r>
                        <w:rPr>
                          <w:rFonts w:ascii="Cambria Math" w:hAnsi="Cambria Math"/>
                          <w:lang w:val="x-none"/>
                        </w:rPr>
                        <m:t>T</m:t>
                      </m:r>
                    </m:e>
                    <m:sub>
                      <m:r>
                        <m:rPr>
                          <m:sty m:val="p"/>
                        </m:rPr>
                        <w:rPr>
                          <w:rFonts w:ascii="Cambria Math" w:hAnsi="Cambria Math"/>
                          <w:lang w:val="x-none"/>
                        </w:rPr>
                        <m:t>TA</m:t>
                      </m:r>
                    </m:sub>
                  </m:sSub>
                </m:num>
                <m:den>
                  <m:r>
                    <m:rPr>
                      <m:sty m:val="p"/>
                    </m:rPr>
                    <w:rPr>
                      <w:rFonts w:ascii="Cambria Math" w:hAnsi="Cambria Math"/>
                      <w:lang w:val="x-none"/>
                    </w:rPr>
                    <m:t>2</m:t>
                  </m:r>
                </m:den>
              </m:f>
            </m:oMath>
            <w:r>
              <w:rPr>
                <w:rFonts w:ascii="Calibri" w:hAnsi="Calibri"/>
                <w:lang w:val="x-none"/>
              </w:rPr>
              <w:t xml:space="preserve"> , where</w:t>
            </w:r>
            <m:oMath>
              <m:sSub>
                <m:sSubPr>
                  <m:ctrlPr>
                    <w:rPr>
                      <w:rFonts w:ascii="Cambria Math" w:eastAsia="SimSun" w:hAnsi="Cambria Math" w:cs="Calibri"/>
                    </w:rPr>
                  </m:ctrlPr>
                </m:sSubPr>
                <m:e>
                  <m:r>
                    <w:rPr>
                      <w:rFonts w:ascii="Cambria Math" w:hAnsi="Cambria Math"/>
                      <w:lang w:val="x-none"/>
                    </w:rPr>
                    <m:t>T</m:t>
                  </m:r>
                </m:e>
                <m:sub>
                  <m:r>
                    <m:rPr>
                      <m:sty m:val="p"/>
                    </m:rPr>
                    <w:rPr>
                      <w:rFonts w:ascii="Cambria Math" w:hAnsi="Cambria Math"/>
                      <w:lang w:val="x-none"/>
                    </w:rPr>
                    <m:t>DL</m:t>
                  </m:r>
                  <m:r>
                    <m:rPr>
                      <m:nor/>
                    </m:rPr>
                    <w:rPr>
                      <w:rFonts w:ascii="Calibri" w:hAnsi="Calibri"/>
                      <w:lang w:val="x-none"/>
                    </w:rPr>
                    <m:t>_CG</m:t>
                  </m:r>
                </m:sub>
              </m:sSub>
            </m:oMath>
            <w:r>
              <w:rPr>
                <w:rFonts w:ascii="Calibri" w:hAnsi="Calibri"/>
                <w:lang w:val="x-none"/>
              </w:rPr>
              <w:t xml:space="preserve"> is the </w:t>
            </w:r>
            <w:r>
              <w:rPr>
                <w:rFonts w:ascii="Calibri" w:hAnsi="Calibri"/>
                <w:highlight w:val="yellow"/>
                <w:lang w:val="x-none"/>
              </w:rPr>
              <w:t>starting time of the downlink slot corresponding to Uu slot index</w:t>
            </w:r>
            <w:r>
              <w:rPr>
                <w:rFonts w:ascii="Calibri" w:hAnsi="Calibri"/>
                <w:lang w:val="x-none"/>
              </w:rPr>
              <w:t xml:space="preserve"> determined by the above formula,</w:t>
            </w:r>
            <m:oMath>
              <m:sSub>
                <m:sSubPr>
                  <m:ctrlPr>
                    <w:rPr>
                      <w:rFonts w:ascii="Cambria Math" w:eastAsia="SimSun" w:hAnsi="Cambria Math" w:cs="Calibri"/>
                    </w:rPr>
                  </m:ctrlPr>
                </m:sSubPr>
                <m:e>
                  <m:r>
                    <w:rPr>
                      <w:rFonts w:ascii="Cambria Math" w:hAnsi="Cambria Math"/>
                      <w:lang w:val="x-none"/>
                    </w:rPr>
                    <m:t>T</m:t>
                  </m:r>
                </m:e>
                <m:sub>
                  <m:r>
                    <m:rPr>
                      <m:sty m:val="p"/>
                    </m:rPr>
                    <w:rPr>
                      <w:rFonts w:ascii="Cambria Math" w:hAnsi="Cambria Math"/>
                      <w:lang w:val="x-none"/>
                    </w:rPr>
                    <m:t>TA</m:t>
                  </m:r>
                </m:sub>
              </m:sSub>
            </m:oMath>
            <w:r>
              <w:rPr>
                <w:rFonts w:ascii="Calibri" w:hAnsi="Calibri"/>
                <w:lang w:val="en-US"/>
              </w:rPr>
              <w:t xml:space="preserve"> </w:t>
            </w:r>
            <w:r>
              <w:rPr>
                <w:rFonts w:ascii="Calibri" w:hAnsi="Calibri"/>
                <w:lang w:val="x-none"/>
              </w:rPr>
              <w:t>is the timing advance (TA) value at the time of the corresponding downlink Uu slot.</w:t>
            </w:r>
          </w:p>
          <w:p w14:paraId="5F3CF535" w14:textId="77777777" w:rsidR="006B24EB" w:rsidRDefault="006B24EB">
            <w:pPr>
              <w:ind w:right="300"/>
              <w:rPr>
                <w:rFonts w:ascii="SimSun" w:hAnsi="SimSun"/>
                <w:sz w:val="24"/>
                <w:szCs w:val="24"/>
                <w:lang w:val="en-US"/>
              </w:rPr>
            </w:pPr>
          </w:p>
          <w:p w14:paraId="4097E57E" w14:textId="77777777" w:rsidR="006B24EB" w:rsidRDefault="006B24EB">
            <w:pPr>
              <w:ind w:right="300"/>
              <w:rPr>
                <w:rFonts w:ascii="Calibri" w:hAnsi="Calibri" w:hint="eastAsia"/>
                <w:b/>
                <w:bCs/>
                <w:color w:val="FF0000"/>
                <w:lang w:val="en-US"/>
              </w:rPr>
            </w:pPr>
            <w:r>
              <w:rPr>
                <w:rFonts w:ascii="Calibri" w:hAnsi="Calibri"/>
                <w:b/>
                <w:bCs/>
                <w:color w:val="FF0000"/>
                <w:lang w:val="en-US"/>
              </w:rPr>
              <w:t>FL reply:</w:t>
            </w:r>
          </w:p>
          <w:p w14:paraId="1E4BFA8D" w14:textId="77777777" w:rsidR="006B24EB" w:rsidRDefault="006B24EB">
            <w:pPr>
              <w:ind w:right="300"/>
              <w:rPr>
                <w:rFonts w:ascii="SimSun" w:hAnsi="SimSun"/>
                <w:sz w:val="24"/>
                <w:szCs w:val="24"/>
                <w:lang w:val="en-US"/>
              </w:rPr>
            </w:pPr>
          </w:p>
          <w:p w14:paraId="63D7BCA7" w14:textId="77777777" w:rsidR="006B24EB" w:rsidRDefault="006B24EB">
            <w:pPr>
              <w:ind w:right="300"/>
              <w:rPr>
                <w:rFonts w:ascii="Calibri" w:hAnsi="Calibri" w:hint="eastAsia"/>
                <w:color w:val="FF0000"/>
                <w:lang w:val="en-US"/>
              </w:rPr>
            </w:pPr>
            <w:r>
              <w:rPr>
                <w:rFonts w:ascii="Calibri" w:hAnsi="Calibri"/>
                <w:color w:val="FF0000"/>
                <w:lang w:val="en-US"/>
              </w:rPr>
              <w:t>Let me first clarify that I think that we should first agree on what we want to specify and discuss the TP afterwards. My impression is that our understanding of the things is not very different but let me first check it.</w:t>
            </w:r>
          </w:p>
          <w:p w14:paraId="666D2CCE" w14:textId="77777777" w:rsidR="006B24EB" w:rsidRDefault="006B24EB" w:rsidP="006B24EB">
            <w:pPr>
              <w:pStyle w:val="ListParagraph"/>
              <w:numPr>
                <w:ilvl w:val="0"/>
                <w:numId w:val="25"/>
              </w:numPr>
              <w:spacing w:line="252" w:lineRule="auto"/>
              <w:ind w:right="300"/>
              <w:rPr>
                <w:color w:val="FF0000"/>
                <w:lang w:val="en-US"/>
              </w:rPr>
            </w:pPr>
            <w:r>
              <w:rPr>
                <w:color w:val="FF0000"/>
                <w:lang w:val="en-US"/>
              </w:rPr>
              <w:t>If we assume T</w:t>
            </w:r>
            <w:r>
              <w:rPr>
                <w:color w:val="FF0000"/>
                <w:vertAlign w:val="subscript"/>
                <w:lang w:val="en-US"/>
              </w:rPr>
              <w:t>TA</w:t>
            </w:r>
            <w:r>
              <w:rPr>
                <w:color w:val="FF0000"/>
                <w:lang w:val="en-US"/>
              </w:rPr>
              <w:t>=0 for a second, do you have any concern with the value of T</w:t>
            </w:r>
            <w:r>
              <w:rPr>
                <w:color w:val="FF0000"/>
                <w:vertAlign w:val="subscript"/>
                <w:lang w:val="en-US"/>
              </w:rPr>
              <w:t>offset</w:t>
            </w:r>
            <w:r>
              <w:rPr>
                <w:color w:val="FF0000"/>
                <w:lang w:val="en-US"/>
              </w:rPr>
              <w:t>, leaving aside whether it is computed in slots or symbols?</w:t>
            </w:r>
          </w:p>
          <w:p w14:paraId="055CC863" w14:textId="77777777" w:rsidR="006B24EB" w:rsidRDefault="006B24EB">
            <w:pPr>
              <w:ind w:right="300"/>
              <w:rPr>
                <w:rFonts w:ascii="Calibri" w:hAnsi="Calibri"/>
                <w:color w:val="1F497D"/>
                <w:lang w:val="en-US"/>
              </w:rPr>
            </w:pPr>
            <w:r>
              <w:rPr>
                <w:rFonts w:ascii="Calibri" w:hAnsi="Calibri"/>
                <w:color w:val="1F497D"/>
                <w:lang w:val="en-US"/>
              </w:rPr>
              <w:t>[HW] Maybe we do not the same understanding of the timing aspect. The concern is that  </w:t>
            </w:r>
            <w:r>
              <w:rPr>
                <w:rFonts w:ascii="Calibri" w:hAnsi="Calibri"/>
                <w:color w:val="FF0000"/>
                <w:lang w:val="en-US"/>
              </w:rPr>
              <w:t>T</w:t>
            </w:r>
            <w:r>
              <w:rPr>
                <w:rFonts w:ascii="Calibri" w:hAnsi="Calibri"/>
                <w:color w:val="FF0000"/>
                <w:vertAlign w:val="subscript"/>
                <w:lang w:val="en-US"/>
              </w:rPr>
              <w:t>offset  </w:t>
            </w:r>
            <w:r>
              <w:rPr>
                <w:rFonts w:ascii="Calibri" w:hAnsi="Calibri"/>
                <w:color w:val="1F497D"/>
                <w:lang w:val="en-US"/>
              </w:rPr>
              <w:t>seems to be a duration rather than a specific timing so “</w:t>
            </w:r>
            <w:r>
              <w:rPr>
                <w:rFonts w:ascii="Calibri" w:hAnsi="Calibri"/>
                <w:lang w:val="en-US"/>
              </w:rPr>
              <w:t>… that starts not earlier than T</w:t>
            </w:r>
            <w:r>
              <w:rPr>
                <w:rFonts w:ascii="Calibri" w:hAnsi="Calibri"/>
                <w:vertAlign w:val="subscript"/>
                <w:lang w:val="en-US"/>
              </w:rPr>
              <w:t>offset</w:t>
            </w:r>
            <w:r>
              <w:rPr>
                <w:rFonts w:ascii="Calibri" w:hAnsi="Calibri"/>
                <w:color w:val="1F497D"/>
                <w:lang w:val="en-US"/>
              </w:rPr>
              <w:t xml:space="preserve">” does not sound correct assuming </w:t>
            </w:r>
            <w:r>
              <w:rPr>
                <w:rFonts w:ascii="Calibri" w:hAnsi="Calibri"/>
                <w:color w:val="FF0000"/>
                <w:lang w:val="en-US"/>
              </w:rPr>
              <w:t>T</w:t>
            </w:r>
            <w:r>
              <w:rPr>
                <w:rFonts w:ascii="Calibri" w:hAnsi="Calibri"/>
                <w:color w:val="FF0000"/>
                <w:vertAlign w:val="subscript"/>
                <w:lang w:val="en-US"/>
              </w:rPr>
              <w:t xml:space="preserve">offset </w:t>
            </w:r>
            <w:r>
              <w:rPr>
                <w:rFonts w:ascii="Calibri" w:hAnsi="Calibri"/>
                <w:color w:val="1F497D"/>
                <w:lang w:val="en-US"/>
              </w:rPr>
              <w:t>is a duration. Since UL CG in 38.321 already provides a way to figure out the SFN and the slot number in the frame, we should just reuse the same principle, rather than risk introducing some more ambiguity.</w:t>
            </w:r>
          </w:p>
          <w:p w14:paraId="53802082" w14:textId="77777777" w:rsidR="006B24EB" w:rsidRDefault="006B24EB" w:rsidP="006B24EB">
            <w:pPr>
              <w:pStyle w:val="ListParagraph"/>
              <w:numPr>
                <w:ilvl w:val="0"/>
                <w:numId w:val="25"/>
              </w:numPr>
              <w:spacing w:line="252" w:lineRule="auto"/>
              <w:ind w:right="300"/>
              <w:rPr>
                <w:color w:val="FF0000"/>
                <w:lang w:val="en-US"/>
              </w:rPr>
            </w:pPr>
            <w:r>
              <w:rPr>
                <w:color w:val="FF0000"/>
                <w:lang w:val="en-US"/>
              </w:rPr>
              <w:t>You agree on applying the correction T</w:t>
            </w:r>
            <w:r>
              <w:rPr>
                <w:color w:val="FF0000"/>
                <w:vertAlign w:val="subscript"/>
                <w:lang w:val="en-US"/>
              </w:rPr>
              <w:t>TA</w:t>
            </w:r>
            <w:r>
              <w:rPr>
                <w:color w:val="FF0000"/>
                <w:lang w:val="en-US"/>
              </w:rPr>
              <w:t>/2. Is my understanding correct that you would like to apply it to determine every slot in the configured grant? I would say that in principle there should be no difference between that and applying it to the determination of the first slot (which was the topic of the discussion) and then applying the periodicity.</w:t>
            </w:r>
          </w:p>
          <w:p w14:paraId="756BEAF3" w14:textId="77777777" w:rsidR="006B24EB" w:rsidRDefault="006B24EB">
            <w:pPr>
              <w:ind w:right="300"/>
              <w:rPr>
                <w:rFonts w:ascii="Calibri" w:hAnsi="Calibri"/>
                <w:color w:val="1F497D"/>
                <w:lang w:val="en-US"/>
              </w:rPr>
            </w:pPr>
            <w:r>
              <w:rPr>
                <w:rFonts w:ascii="Calibri" w:hAnsi="Calibri"/>
                <w:color w:val="1F497D"/>
                <w:lang w:val="en-US"/>
              </w:rPr>
              <w:t>[HW] In principle, there is no difference if the value of TA is always the same but if TA changes,  then applying TA to determine every slot in the configured grant would be more aligned with the formula we agreed in Q1 for DG and CG Type 2.</w:t>
            </w:r>
          </w:p>
          <w:p w14:paraId="4821504E" w14:textId="77777777" w:rsidR="006B24EB" w:rsidRDefault="006B24EB">
            <w:pPr>
              <w:ind w:right="300"/>
              <w:rPr>
                <w:rFonts w:ascii="Calibri" w:hAnsi="Calibri"/>
                <w:color w:val="FF0000"/>
                <w:lang w:val="en-US"/>
              </w:rPr>
            </w:pPr>
            <w:r>
              <w:rPr>
                <w:rFonts w:ascii="Calibri" w:hAnsi="Calibri"/>
                <w:color w:val="FF0000"/>
                <w:lang w:val="en-US"/>
              </w:rPr>
              <w:t>Could you please clarify whether you agree or I got something wrong?</w:t>
            </w:r>
          </w:p>
          <w:p w14:paraId="4112AD0F" w14:textId="77777777" w:rsidR="006B24EB" w:rsidRDefault="006B24EB">
            <w:pPr>
              <w:ind w:right="300"/>
              <w:rPr>
                <w:rFonts w:ascii="Calibri" w:hAnsi="Calibri"/>
                <w:color w:val="FF0000"/>
                <w:lang w:val="en-US"/>
              </w:rPr>
            </w:pPr>
          </w:p>
          <w:p w14:paraId="0485E16F" w14:textId="77777777" w:rsidR="006B24EB" w:rsidRDefault="006B24EB">
            <w:pPr>
              <w:ind w:right="300"/>
              <w:rPr>
                <w:rFonts w:ascii="Calibri" w:hAnsi="Calibri"/>
                <w:lang w:val="en-US"/>
              </w:rPr>
            </w:pPr>
            <w:r>
              <w:rPr>
                <w:rFonts w:ascii="Calibri" w:hAnsi="Calibri"/>
                <w:color w:val="FF0000"/>
                <w:lang w:val="en-US"/>
              </w:rPr>
              <w:t xml:space="preserve">Regarding the use of symbols vs slots in the formula, I don’t think this is particularly important and can be discussed when drafting the TP. Something more important and not covered in the current proposal is how to deal with carriers where 7-13 symbols are used for SL (instead of full slot). To conclude on this, my understanding of 38.321 Section 5.8.2 is that configured grants are defined in terms of symbols rather than slots. Moreover, periodicity for </w:t>
            </w:r>
            <w:r>
              <w:rPr>
                <w:rFonts w:ascii="Calibri" w:hAnsi="Calibri"/>
                <w:i/>
                <w:iCs/>
                <w:color w:val="FF0000"/>
                <w:lang w:val="en-US"/>
              </w:rPr>
              <w:t>ConfiguredGrantConfig</w:t>
            </w:r>
            <w:r>
              <w:rPr>
                <w:rFonts w:ascii="Calibri" w:hAnsi="Calibri"/>
                <w:color w:val="FF0000"/>
                <w:lang w:val="en-US"/>
              </w:rPr>
              <w:t xml:space="preserve"> is defined in terms of symbols in 38.331. Please correct me if I am wrong. My feeling is that we can go either way.</w:t>
            </w:r>
          </w:p>
          <w:p w14:paraId="1F260FA8" w14:textId="77777777" w:rsidR="006B24EB" w:rsidRDefault="006B24EB">
            <w:pPr>
              <w:ind w:right="300"/>
              <w:rPr>
                <w:rFonts w:ascii="Calibri" w:hAnsi="Calibri"/>
                <w:color w:val="1F497D"/>
                <w:lang w:val="en-US"/>
              </w:rPr>
            </w:pPr>
            <w:r>
              <w:rPr>
                <w:rFonts w:ascii="Calibri" w:hAnsi="Calibri"/>
                <w:color w:val="1F497D"/>
                <w:lang w:val="en-US"/>
              </w:rPr>
              <w:t>[HW] In UL, the periodicity can be less than a slot which is why symbols are being used. We do not have this issue in SL so there is no valid reason for using symbols in SL which would make the formula more complicated than necessary. Moreover, the fact that some carriers may use 7-13 symbols (instead of full slots) should have no bearing on which slots UE uses for CG transmissions. This should also answer a similar comment from LGE.</w:t>
            </w:r>
          </w:p>
          <w:p w14:paraId="12335994" w14:textId="77777777" w:rsidR="006B24EB" w:rsidRDefault="006B24EB">
            <w:pPr>
              <w:ind w:right="300"/>
              <w:rPr>
                <w:rFonts w:ascii="Calibri" w:hAnsi="Calibri"/>
                <w:lang w:val="en-US"/>
              </w:rPr>
            </w:pPr>
          </w:p>
          <w:p w14:paraId="5700496C"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410D9917" w14:textId="77777777" w:rsidR="006B24EB" w:rsidRDefault="006B24EB">
            <w:pPr>
              <w:ind w:right="300"/>
              <w:rPr>
                <w:rFonts w:ascii="SimSun" w:hAnsi="SimSun"/>
                <w:sz w:val="24"/>
                <w:szCs w:val="24"/>
                <w:lang w:val="en-US"/>
              </w:rPr>
            </w:pPr>
          </w:p>
          <w:p w14:paraId="41B6CD90" w14:textId="77777777" w:rsidR="006B24EB" w:rsidRDefault="006B24EB">
            <w:pPr>
              <w:ind w:right="300"/>
              <w:rPr>
                <w:rFonts w:ascii="Calibri" w:hAnsi="Calibri" w:hint="eastAsia"/>
                <w:color w:val="FF0000"/>
                <w:lang w:val="en-US"/>
              </w:rPr>
            </w:pPr>
            <w:r>
              <w:rPr>
                <w:rFonts w:ascii="Calibri" w:hAnsi="Calibri"/>
                <w:color w:val="FF0000"/>
                <w:lang w:val="en-US"/>
              </w:rPr>
              <w:t>Please don’t read T</w:t>
            </w:r>
            <w:r>
              <w:rPr>
                <w:rFonts w:ascii="Calibri" w:hAnsi="Calibri"/>
                <w:color w:val="FF0000"/>
                <w:vertAlign w:val="subscript"/>
                <w:lang w:val="en-US"/>
              </w:rPr>
              <w:t>offset</w:t>
            </w:r>
            <w:r>
              <w:rPr>
                <w:rFonts w:ascii="Calibri" w:hAnsi="Calibri"/>
                <w:color w:val="FF0000"/>
                <w:lang w:val="en-US"/>
              </w:rPr>
              <w:t xml:space="preserve"> by itself. Read the entire proposal which states that the “The slot of the first sidelink transmissions of CG type-1 is the first SL slot of the corresponding resource pool that starts not earlier than Toffset”. It clearly determines a specific timing.</w:t>
            </w:r>
          </w:p>
          <w:p w14:paraId="1CF8EEB9" w14:textId="77777777" w:rsidR="006B24EB" w:rsidRDefault="006B24EB">
            <w:pPr>
              <w:ind w:right="300"/>
              <w:rPr>
                <w:rFonts w:ascii="Calibri" w:hAnsi="Calibri"/>
                <w:color w:val="FF0000"/>
                <w:lang w:val="en-US"/>
              </w:rPr>
            </w:pPr>
          </w:p>
          <w:p w14:paraId="14EAE7C8" w14:textId="77777777" w:rsidR="006B24EB" w:rsidRDefault="006B24EB">
            <w:pPr>
              <w:ind w:right="300"/>
              <w:rPr>
                <w:rFonts w:ascii="Calibri" w:hAnsi="Calibri"/>
                <w:color w:val="FF0000"/>
                <w:lang w:val="en-US"/>
              </w:rPr>
            </w:pPr>
            <w:r>
              <w:rPr>
                <w:rFonts w:ascii="Calibri" w:hAnsi="Calibri"/>
                <w:color w:val="FF0000"/>
                <w:lang w:val="en-US"/>
              </w:rPr>
              <w:t>Let me try to convince you that we are talking exactly about the same thing.</w:t>
            </w:r>
          </w:p>
          <w:p w14:paraId="12CA9C74" w14:textId="77777777" w:rsidR="006B24EB" w:rsidRDefault="006B24EB">
            <w:pPr>
              <w:ind w:right="300"/>
              <w:rPr>
                <w:rFonts w:ascii="Calibri" w:hAnsi="Calibri"/>
                <w:color w:val="FF0000"/>
                <w:lang w:val="en-US"/>
              </w:rPr>
            </w:pPr>
          </w:p>
          <w:p w14:paraId="01E0DBD8" w14:textId="77777777" w:rsidR="006B24EB" w:rsidRDefault="006B24EB">
            <w:pPr>
              <w:ind w:right="300"/>
              <w:rPr>
                <w:rFonts w:ascii="Calibri" w:hAnsi="Calibri"/>
                <w:lang w:val="en-US"/>
              </w:rPr>
            </w:pPr>
            <w:r>
              <w:rPr>
                <w:rFonts w:ascii="Calibri" w:hAnsi="Calibri"/>
                <w:lang w:val="en-US"/>
              </w:rPr>
              <w:t>Let us assume for a second that T</w:t>
            </w:r>
            <w:r>
              <w:rPr>
                <w:rFonts w:ascii="Calibri" w:hAnsi="Calibri"/>
                <w:vertAlign w:val="subscript"/>
                <w:lang w:val="en-US"/>
              </w:rPr>
              <w:t>TA</w:t>
            </w:r>
            <w:r>
              <w:rPr>
                <w:rFonts w:ascii="Calibri" w:hAnsi="Calibri"/>
                <w:lang w:val="en-US"/>
              </w:rPr>
              <w:t xml:space="preserve"> = 0. The proposal above says that the first granted resource is given by:</w:t>
            </w:r>
          </w:p>
          <w:p w14:paraId="2A5EAECF" w14:textId="77777777" w:rsidR="006B24EB" w:rsidRDefault="006B24EB">
            <w:pPr>
              <w:ind w:right="300"/>
              <w:rPr>
                <w:rFonts w:ascii="Calibri" w:hAnsi="Calibri"/>
                <w:lang w:val="en-US"/>
              </w:rPr>
            </w:pPr>
            <w:r>
              <w:rPr>
                <w:rFonts w:ascii="Calibri" w:hAnsi="Calibri"/>
                <w:lang w:val="en-US"/>
              </w:rPr>
              <w:t>timeDomainOffset × numberOfSymbolsPerSlot + N</w:t>
            </w:r>
            <w:r>
              <w:rPr>
                <w:rFonts w:ascii="Calibri" w:hAnsi="Calibri"/>
                <w:vertAlign w:val="subscript"/>
                <w:lang w:val="en-US"/>
              </w:rPr>
              <w:t>0</w:t>
            </w:r>
            <w:r>
              <w:rPr>
                <w:rFonts w:ascii="Calibri" w:hAnsi="Calibri"/>
                <w:lang w:val="en-US"/>
              </w:rPr>
              <w:t xml:space="preserve"> × periodicity (for the smallest N</w:t>
            </w:r>
            <w:r>
              <w:rPr>
                <w:rFonts w:ascii="Calibri" w:hAnsi="Calibri"/>
                <w:vertAlign w:val="subscript"/>
                <w:lang w:val="en-US"/>
              </w:rPr>
              <w:t>0</w:t>
            </w:r>
            <w:r>
              <w:rPr>
                <w:rFonts w:ascii="Calibri" w:hAnsi="Calibri"/>
                <w:lang w:val="en-US"/>
              </w:rPr>
              <w:t xml:space="preserve"> so that this happens after RRC configuration)</w:t>
            </w:r>
          </w:p>
          <w:p w14:paraId="0D64FDAB" w14:textId="77777777" w:rsidR="006B24EB" w:rsidRDefault="006B24EB">
            <w:pPr>
              <w:ind w:right="300"/>
              <w:rPr>
                <w:rFonts w:ascii="Calibri" w:hAnsi="Calibri"/>
                <w:lang w:val="en-US"/>
              </w:rPr>
            </w:pPr>
          </w:p>
          <w:p w14:paraId="766431A8" w14:textId="77777777" w:rsidR="006B24EB" w:rsidRDefault="006B24EB">
            <w:pPr>
              <w:ind w:right="300"/>
              <w:rPr>
                <w:rFonts w:ascii="Calibri" w:hAnsi="Calibri"/>
                <w:lang w:val="en-US"/>
              </w:rPr>
            </w:pPr>
            <w:r>
              <w:rPr>
                <w:rFonts w:ascii="Calibri" w:hAnsi="Calibri"/>
                <w:lang w:val="en-US"/>
              </w:rPr>
              <w:t>Now let´s have a look at 38.321 for UL CG Type-1:</w:t>
            </w:r>
          </w:p>
          <w:p w14:paraId="7CD1DE22" w14:textId="77777777" w:rsidR="006B24EB" w:rsidRDefault="006B24EB">
            <w:pPr>
              <w:spacing w:after="180"/>
              <w:ind w:left="1304"/>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After an uplink grant is configured for a configured grant Type 1, the MAC entity shall consider that the uplink grant recurs associated with each symbol for which:</w:t>
            </w:r>
          </w:p>
          <w:p w14:paraId="1A43B1F8" w14:textId="77777777" w:rsidR="006B24EB" w:rsidRDefault="006B24EB">
            <w:pPr>
              <w:spacing w:after="180"/>
              <w:ind w:left="1304"/>
              <w:jc w:val="cente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[(SFN × </w:t>
            </w:r>
            <w:r>
              <w:rPr>
                <w:rFonts w:ascii="Times New Roman" w:hAnsi="Times New Roman" w:cs="Times New Roman"/>
                <w:i/>
                <w:iCs/>
                <w:sz w:val="20"/>
                <w:szCs w:val="20"/>
                <w:lang w:val="en-GB" w:eastAsia="ko-KR"/>
              </w:rPr>
              <w:t>numberOfSlotsPerFrame</w:t>
            </w:r>
            <w:r>
              <w:rPr>
                <w:rFonts w:ascii="Times New Roman" w:hAnsi="Times New Roman" w:cs="Times New Roman"/>
                <w:sz w:val="20"/>
                <w:szCs w:val="20"/>
                <w:lang w:val="en-GB" w:eastAsia="ko-KR"/>
              </w:rPr>
              <w:t xml:space="preserve"> × </w:t>
            </w:r>
            <w:r>
              <w:rPr>
                <w:rFonts w:ascii="Times New Roman" w:hAnsi="Times New Roman" w:cs="Times New Roman"/>
                <w:i/>
                <w:iCs/>
                <w:sz w:val="20"/>
                <w:szCs w:val="20"/>
                <w:lang w:val="en-GB" w:eastAsia="ko-KR"/>
              </w:rPr>
              <w:t>numberOfSymbolsPerSlot</w:t>
            </w:r>
            <w:r>
              <w:rPr>
                <w:rFonts w:ascii="Times New Roman" w:hAnsi="Times New Roman" w:cs="Times New Roman"/>
                <w:sz w:val="20"/>
                <w:szCs w:val="20"/>
                <w:lang w:val="en-GB" w:eastAsia="ko-KR"/>
              </w:rPr>
              <w:t xml:space="preserve">) + (slot number in the frame × </w:t>
            </w:r>
            <w:r>
              <w:rPr>
                <w:rFonts w:ascii="Times New Roman" w:hAnsi="Times New Roman" w:cs="Times New Roman"/>
                <w:i/>
                <w:iCs/>
                <w:sz w:val="20"/>
                <w:szCs w:val="20"/>
                <w:lang w:val="en-GB" w:eastAsia="ko-KR"/>
              </w:rPr>
              <w:t>numberOfSymbolsPerSlot</w:t>
            </w:r>
            <w:r>
              <w:rPr>
                <w:rFonts w:ascii="Times New Roman" w:hAnsi="Times New Roman" w:cs="Times New Roman"/>
                <w:sz w:val="20"/>
                <w:szCs w:val="20"/>
                <w:lang w:val="en-GB" w:eastAsia="ko-KR"/>
              </w:rPr>
              <w:t>) + symbol number in the slot] =</w:t>
            </w:r>
            <w:r>
              <w:rPr>
                <w:rFonts w:ascii="Times New Roman" w:hAnsi="Times New Roman" w:cs="Times New Roman"/>
                <w:sz w:val="20"/>
                <w:szCs w:val="20"/>
                <w:lang w:val="en-GB" w:eastAsia="ko-KR"/>
              </w:rPr>
              <w:br/>
              <w:t>(</w:t>
            </w:r>
            <w:r>
              <w:rPr>
                <w:rFonts w:ascii="Times New Roman" w:hAnsi="Times New Roman" w:cs="Times New Roman"/>
                <w:i/>
                <w:iCs/>
                <w:sz w:val="20"/>
                <w:szCs w:val="20"/>
                <w:highlight w:val="yellow"/>
                <w:lang w:val="en-GB" w:eastAsia="ko-KR"/>
              </w:rPr>
              <w:t>timeDomainOffset</w:t>
            </w:r>
            <w:r>
              <w:rPr>
                <w:rFonts w:ascii="Times New Roman" w:hAnsi="Times New Roman" w:cs="Times New Roman"/>
                <w:sz w:val="20"/>
                <w:szCs w:val="20"/>
                <w:highlight w:val="yellow"/>
                <w:lang w:val="en-GB" w:eastAsia="ko-KR"/>
              </w:rPr>
              <w:t xml:space="preserve"> × </w:t>
            </w:r>
            <w:r>
              <w:rPr>
                <w:rFonts w:ascii="Times New Roman" w:hAnsi="Times New Roman" w:cs="Times New Roman"/>
                <w:i/>
                <w:iCs/>
                <w:sz w:val="20"/>
                <w:szCs w:val="20"/>
                <w:highlight w:val="yellow"/>
                <w:lang w:val="en-GB" w:eastAsia="ko-KR"/>
              </w:rPr>
              <w:t>numberOfSymbolsPerSlot</w:t>
            </w:r>
            <w:r>
              <w:rPr>
                <w:rFonts w:ascii="Times New Roman" w:hAnsi="Times New Roman" w:cs="Times New Roman"/>
                <w:sz w:val="20"/>
                <w:szCs w:val="20"/>
                <w:highlight w:val="yellow"/>
                <w:lang w:val="en-GB" w:eastAsia="ko-KR"/>
              </w:rPr>
              <w:t xml:space="preserve"> + </w:t>
            </w:r>
            <w:r>
              <w:rPr>
                <w:rFonts w:ascii="Times New Roman" w:hAnsi="Times New Roman" w:cs="Times New Roman"/>
                <w:i/>
                <w:iCs/>
                <w:sz w:val="20"/>
                <w:szCs w:val="20"/>
                <w:highlight w:val="yellow"/>
                <w:lang w:val="en-GB" w:eastAsia="ko-KR"/>
              </w:rPr>
              <w:t>S</w:t>
            </w:r>
            <w:r>
              <w:rPr>
                <w:rFonts w:ascii="Times New Roman" w:hAnsi="Times New Roman" w:cs="Times New Roman"/>
                <w:sz w:val="20"/>
                <w:szCs w:val="20"/>
                <w:highlight w:val="yellow"/>
                <w:lang w:val="en-GB" w:eastAsia="ko-KR"/>
              </w:rPr>
              <w:t xml:space="preserve"> + N × </w:t>
            </w:r>
            <w:r>
              <w:rPr>
                <w:rFonts w:ascii="Times New Roman" w:hAnsi="Times New Roman" w:cs="Times New Roman"/>
                <w:i/>
                <w:iCs/>
                <w:sz w:val="20"/>
                <w:szCs w:val="20"/>
                <w:highlight w:val="yellow"/>
                <w:lang w:val="en-GB" w:eastAsia="ko-KR"/>
              </w:rPr>
              <w:t>periodicity</w:t>
            </w:r>
            <w:r>
              <w:rPr>
                <w:rFonts w:ascii="Times New Roman" w:hAnsi="Times New Roman" w:cs="Times New Roman"/>
                <w:sz w:val="20"/>
                <w:szCs w:val="20"/>
                <w:lang w:val="en-GB" w:eastAsia="ko-KR"/>
              </w:rPr>
              <w:t xml:space="preserve">) modulo (1024 × </w:t>
            </w:r>
            <w:r>
              <w:rPr>
                <w:rFonts w:ascii="Times New Roman" w:hAnsi="Times New Roman" w:cs="Times New Roman"/>
                <w:i/>
                <w:iCs/>
                <w:sz w:val="20"/>
                <w:szCs w:val="20"/>
                <w:lang w:val="en-GB" w:eastAsia="ko-KR"/>
              </w:rPr>
              <w:t>numberOfSlotsPerFrame</w:t>
            </w:r>
            <w:r>
              <w:rPr>
                <w:rFonts w:ascii="Times New Roman" w:hAnsi="Times New Roman" w:cs="Times New Roman"/>
                <w:sz w:val="20"/>
                <w:szCs w:val="20"/>
                <w:lang w:val="en-GB" w:eastAsia="ko-KR"/>
              </w:rPr>
              <w:t xml:space="preserve"> × </w:t>
            </w:r>
            <w:r>
              <w:rPr>
                <w:rFonts w:ascii="Times New Roman" w:hAnsi="Times New Roman" w:cs="Times New Roman"/>
                <w:i/>
                <w:iCs/>
                <w:sz w:val="20"/>
                <w:szCs w:val="20"/>
                <w:lang w:val="en-GB" w:eastAsia="ko-KR"/>
              </w:rPr>
              <w:t>numberOfSymbolsPerSlot</w:t>
            </w:r>
            <w:r>
              <w:rPr>
                <w:rFonts w:ascii="Times New Roman" w:hAnsi="Times New Roman" w:cs="Times New Roman"/>
                <w:sz w:val="20"/>
                <w:szCs w:val="20"/>
                <w:lang w:val="en-GB" w:eastAsia="ko-KR"/>
              </w:rPr>
              <w:t>), for all N &gt;= 0.</w:t>
            </w:r>
          </w:p>
          <w:p w14:paraId="320F3510" w14:textId="77777777" w:rsidR="006B24EB" w:rsidRDefault="006B24EB">
            <w:pPr>
              <w:ind w:right="300"/>
              <w:rPr>
                <w:rFonts w:ascii="Calibri" w:hAnsi="Calibri" w:cs="Calibri"/>
                <w:lang w:val="en-GB" w:eastAsia="fi-FI"/>
              </w:rPr>
            </w:pPr>
            <w:r>
              <w:rPr>
                <w:rFonts w:ascii="Calibri" w:hAnsi="Calibri"/>
                <w:lang w:val="en-GB"/>
              </w:rPr>
              <w:t>Look at the part in yellow. It is exactly the same formula as above if:</w:t>
            </w:r>
          </w:p>
          <w:p w14:paraId="0C73629C" w14:textId="77777777" w:rsidR="006B24EB" w:rsidRDefault="006B24EB" w:rsidP="006B24EB">
            <w:pPr>
              <w:pStyle w:val="ListParagraph"/>
              <w:numPr>
                <w:ilvl w:val="0"/>
                <w:numId w:val="25"/>
              </w:numPr>
              <w:spacing w:after="0" w:line="252" w:lineRule="auto"/>
              <w:ind w:right="300"/>
              <w:rPr>
                <w:lang w:val="en-GB"/>
              </w:rPr>
            </w:pPr>
            <w:r>
              <w:rPr>
                <w:lang w:val="en-GB"/>
              </w:rPr>
              <w:t xml:space="preserve">we set S=0, given that we are discussing slots and that S is a starting symbol relative to the start of the slot). </w:t>
            </w:r>
          </w:p>
          <w:p w14:paraId="419AAC33" w14:textId="77777777" w:rsidR="006B24EB" w:rsidRDefault="006B24EB" w:rsidP="006B24EB">
            <w:pPr>
              <w:pStyle w:val="ListParagraph"/>
              <w:numPr>
                <w:ilvl w:val="0"/>
                <w:numId w:val="25"/>
              </w:numPr>
              <w:spacing w:line="252" w:lineRule="auto"/>
              <w:ind w:right="300"/>
              <w:rPr>
                <w:sz w:val="20"/>
                <w:szCs w:val="20"/>
                <w:lang w:val="en-GB"/>
              </w:rPr>
            </w:pPr>
            <w:r>
              <w:rPr>
                <w:lang w:val="en-GB"/>
              </w:rPr>
              <w:t>we take N=N</w:t>
            </w:r>
            <w:r>
              <w:rPr>
                <w:vertAlign w:val="subscript"/>
                <w:lang w:val="en-GB"/>
              </w:rPr>
              <w:t>0</w:t>
            </w:r>
            <w:r>
              <w:rPr>
                <w:lang w:val="en-GB"/>
              </w:rPr>
              <w:t xml:space="preserve"> so that it happens after activation of RRC.</w:t>
            </w:r>
          </w:p>
          <w:p w14:paraId="65CCFCD6" w14:textId="77777777" w:rsidR="006B24EB" w:rsidRDefault="006B24EB">
            <w:pPr>
              <w:ind w:right="300"/>
              <w:rPr>
                <w:lang w:val="en-GB"/>
              </w:rPr>
            </w:pPr>
            <w:r>
              <w:rPr>
                <w:rFonts w:ascii="Calibri" w:hAnsi="Calibri"/>
                <w:lang w:val="en-GB"/>
              </w:rPr>
              <w:t>I would also say that the formula (with N&gt;=0) applies to derive the subsequent granted resources. This was not controversial in my understanding</w:t>
            </w:r>
            <w:r>
              <w:rPr>
                <w:rFonts w:hint="eastAsia"/>
                <w:lang w:val="en-GB"/>
              </w:rPr>
              <w:t>.</w:t>
            </w:r>
          </w:p>
          <w:p w14:paraId="040C958E" w14:textId="77777777" w:rsidR="006B24EB" w:rsidRDefault="006B24EB">
            <w:pPr>
              <w:ind w:right="300"/>
              <w:rPr>
                <w:rFonts w:hint="eastAsia"/>
                <w:lang w:val="en-GB"/>
              </w:rPr>
            </w:pPr>
          </w:p>
          <w:p w14:paraId="71D22D11" w14:textId="77777777" w:rsidR="006B24EB" w:rsidRDefault="006B24EB">
            <w:pPr>
              <w:ind w:right="300"/>
              <w:rPr>
                <w:rFonts w:ascii="Calibri" w:hAnsi="Calibri" w:hint="eastAsia"/>
                <w:lang w:val="en-US"/>
              </w:rPr>
            </w:pPr>
            <w:r>
              <w:rPr>
                <w:rFonts w:ascii="Calibri" w:hAnsi="Calibri"/>
                <w:lang w:val="en-US"/>
              </w:rPr>
              <w:t>Now, let get the T</w:t>
            </w:r>
            <w:r>
              <w:rPr>
                <w:rFonts w:ascii="Calibri" w:hAnsi="Calibri"/>
                <w:vertAlign w:val="subscript"/>
                <w:lang w:val="en-US"/>
              </w:rPr>
              <w:t>TA</w:t>
            </w:r>
            <w:r>
              <w:rPr>
                <w:rFonts w:ascii="Calibri" w:hAnsi="Calibri"/>
                <w:lang w:val="en-US"/>
              </w:rPr>
              <w:t xml:space="preserve"> back. As for DG and CG Type-2, there is a time ambiguity between Uu and SL carriers. For DG and CG Type-2, this ambiguity is solved by applying the T</w:t>
            </w:r>
            <w:r>
              <w:rPr>
                <w:rFonts w:ascii="Calibri" w:hAnsi="Calibri"/>
                <w:vertAlign w:val="subscript"/>
                <w:lang w:val="en-US"/>
              </w:rPr>
              <w:t>TA</w:t>
            </w:r>
            <w:r>
              <w:rPr>
                <w:rFonts w:ascii="Calibri" w:hAnsi="Calibri"/>
                <w:lang w:val="en-US"/>
              </w:rPr>
              <w:t>/2 correction and taking the SL slot starting at that point or later. We are doing exactly the same thing here. Namely, to take:</w:t>
            </w:r>
          </w:p>
          <w:p w14:paraId="2717E621" w14:textId="77777777" w:rsidR="006B24EB" w:rsidRDefault="006B24EB">
            <w:pPr>
              <w:ind w:left="1304" w:right="300"/>
              <w:rPr>
                <w:rFonts w:ascii="Calibri" w:hAnsi="Calibri"/>
                <w:lang w:val="en-US"/>
              </w:rPr>
            </w:pPr>
            <w:r>
              <w:rPr>
                <w:rFonts w:ascii="Calibri" w:hAnsi="Calibri"/>
                <w:lang w:val="en-US"/>
              </w:rPr>
              <w:t>The slot of the first sidelink transmissions of CG type-1 is the first SL slot of the corresponding resource pool that starts not earlier than T</w:t>
            </w:r>
            <w:r>
              <w:rPr>
                <w:rFonts w:ascii="Calibri" w:hAnsi="Calibri"/>
                <w:vertAlign w:val="subscript"/>
                <w:lang w:val="en-US"/>
              </w:rPr>
              <w:t>offset</w:t>
            </w:r>
            <w:r>
              <w:rPr>
                <w:rFonts w:ascii="Calibri" w:hAnsi="Calibri"/>
                <w:lang w:val="en-US"/>
              </w:rPr>
              <w:t xml:space="preserve"> = timeDomainOffset × numberOfSymbolsPerSlot – T</w:t>
            </w:r>
            <w:r>
              <w:rPr>
                <w:rFonts w:ascii="Calibri" w:hAnsi="Calibri"/>
                <w:vertAlign w:val="subscript"/>
                <w:lang w:val="en-US"/>
              </w:rPr>
              <w:t>TA</w:t>
            </w:r>
            <w:r>
              <w:rPr>
                <w:rFonts w:ascii="Calibri" w:hAnsi="Calibri"/>
                <w:lang w:val="en-US"/>
              </w:rPr>
              <w:t xml:space="preserve"> / 2 + N</w:t>
            </w:r>
            <w:r>
              <w:rPr>
                <w:rFonts w:ascii="Calibri" w:hAnsi="Calibri"/>
                <w:vertAlign w:val="subscript"/>
                <w:lang w:val="en-US"/>
              </w:rPr>
              <w:t>0</w:t>
            </w:r>
            <w:r>
              <w:rPr>
                <w:rFonts w:ascii="Calibri" w:hAnsi="Calibri"/>
                <w:lang w:val="en-US"/>
              </w:rPr>
              <w:t xml:space="preserve"> × periodicity.</w:t>
            </w:r>
          </w:p>
          <w:p w14:paraId="5AE44AB1" w14:textId="77777777" w:rsidR="006B24EB" w:rsidRDefault="006B24EB">
            <w:pPr>
              <w:ind w:left="1304" w:right="300"/>
              <w:rPr>
                <w:rFonts w:ascii="SimSun" w:hAnsi="SimSun"/>
                <w:sz w:val="24"/>
                <w:szCs w:val="24"/>
                <w:lang w:val="en-GB"/>
              </w:rPr>
            </w:pPr>
          </w:p>
          <w:p w14:paraId="031245D1" w14:textId="77777777" w:rsidR="006B24EB" w:rsidRDefault="006B24EB">
            <w:pPr>
              <w:ind w:right="300"/>
              <w:rPr>
                <w:rFonts w:ascii="Calibri" w:hAnsi="Calibri" w:hint="eastAsia"/>
                <w:lang w:val="en-US"/>
              </w:rPr>
            </w:pPr>
            <w:r>
              <w:rPr>
                <w:rFonts w:ascii="Calibri" w:hAnsi="Calibri"/>
                <w:lang w:val="en-US"/>
              </w:rPr>
              <w:t>So if the slot determined according to the above text is slot Z, then my understanding is the rest of the slots provided by the grant are determined as</w:t>
            </w:r>
          </w:p>
          <w:p w14:paraId="6F0D0A69" w14:textId="77777777" w:rsidR="006B24EB" w:rsidRDefault="006B24EB">
            <w:pPr>
              <w:ind w:right="300"/>
              <w:rPr>
                <w:rFonts w:ascii="Calibri" w:hAnsi="Calibri"/>
                <w:lang w:val="en-US"/>
              </w:rPr>
            </w:pPr>
            <w:r>
              <w:rPr>
                <w:rFonts w:ascii="Calibri" w:hAnsi="Calibri"/>
                <w:lang w:val="en-US"/>
              </w:rPr>
              <w:t>Z + N x periodicity modulo (1024 x …)</w:t>
            </w:r>
          </w:p>
          <w:p w14:paraId="625553C8" w14:textId="77777777" w:rsidR="006B24EB" w:rsidRDefault="006B24EB">
            <w:pPr>
              <w:ind w:right="300"/>
              <w:rPr>
                <w:rFonts w:ascii="Calibri" w:hAnsi="Calibri"/>
                <w:lang w:val="en-US"/>
              </w:rPr>
            </w:pPr>
            <w:r>
              <w:rPr>
                <w:rFonts w:ascii="Calibri" w:hAnsi="Calibri"/>
                <w:lang w:val="en-US"/>
              </w:rPr>
              <w:t>for N &gt;=0. Exactly as in Uu. We can capture that last equation too if you consider it necessary. But in my understanding this was not controversial. That is why this discussion focused on the “determination of the slot of the first sidelink transmission for configured grant type-1”.</w:t>
            </w:r>
          </w:p>
          <w:p w14:paraId="7E7C1750" w14:textId="77777777" w:rsidR="006B24EB" w:rsidRDefault="006B24EB">
            <w:pPr>
              <w:ind w:right="300"/>
              <w:rPr>
                <w:rFonts w:ascii="Calibri" w:hAnsi="Calibri"/>
                <w:color w:val="FF0000"/>
                <w:lang w:val="en-US"/>
              </w:rPr>
            </w:pPr>
          </w:p>
          <w:p w14:paraId="79975B55" w14:textId="77777777" w:rsidR="006B24EB" w:rsidRDefault="006B24EB">
            <w:pPr>
              <w:ind w:right="300"/>
              <w:rPr>
                <w:rFonts w:ascii="Calibri" w:hAnsi="Calibri"/>
                <w:color w:val="FF0000"/>
                <w:lang w:val="en-US"/>
              </w:rPr>
            </w:pPr>
            <w:r>
              <w:rPr>
                <w:rFonts w:ascii="Calibri" w:hAnsi="Calibri"/>
                <w:color w:val="FF0000"/>
                <w:lang w:val="en-US"/>
              </w:rPr>
              <w:t>Regarding your point about the TA. I don’t think it is a good idea to keep applying the correction:</w:t>
            </w:r>
          </w:p>
          <w:p w14:paraId="3E97D513" w14:textId="77777777" w:rsidR="006B24EB" w:rsidRDefault="006B24EB" w:rsidP="006B24EB">
            <w:pPr>
              <w:pStyle w:val="ListParagraph"/>
              <w:numPr>
                <w:ilvl w:val="0"/>
                <w:numId w:val="26"/>
              </w:numPr>
              <w:spacing w:line="252" w:lineRule="auto"/>
              <w:ind w:right="300"/>
              <w:rPr>
                <w:color w:val="FF0000"/>
                <w:lang w:val="en-US"/>
              </w:rPr>
            </w:pPr>
            <w:r>
              <w:rPr>
                <w:color w:val="FF0000"/>
                <w:lang w:val="en-US"/>
              </w:rPr>
              <w:t>If there is no change (as it should be), then the UE is computing something that it does not need to compute.</w:t>
            </w:r>
          </w:p>
          <w:p w14:paraId="61D603DB" w14:textId="77777777" w:rsidR="006B24EB" w:rsidRDefault="006B24EB" w:rsidP="006B24EB">
            <w:pPr>
              <w:pStyle w:val="ListParagraph"/>
              <w:numPr>
                <w:ilvl w:val="0"/>
                <w:numId w:val="26"/>
              </w:numPr>
              <w:spacing w:line="252" w:lineRule="auto"/>
              <w:ind w:right="300"/>
              <w:rPr>
                <w:rFonts w:ascii="SimSun" w:eastAsia="SimSun" w:hAnsi="SimSun"/>
                <w:sz w:val="24"/>
                <w:szCs w:val="24"/>
                <w:lang w:val="en-US"/>
              </w:rPr>
            </w:pPr>
            <w:r>
              <w:rPr>
                <w:color w:val="FF0000"/>
                <w:lang w:val="en-US"/>
              </w:rPr>
              <w:t>If there is a change (and there should not be), then these changes are made without the gNB being aware of them. That means that the UE will be transmitting on resources that the gNB does not consider as granted. I think your reasoning is a good reason for applying the TA only for the determination of the first resource.</w:t>
            </w:r>
          </w:p>
        </w:tc>
      </w:tr>
      <w:tr w:rsidR="006B24EB" w14:paraId="4DE24C8B" w14:textId="77777777" w:rsidTr="006B24EB">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FA23B" w14:textId="77777777" w:rsidR="006B24EB" w:rsidRDefault="006B24EB">
            <w:pPr>
              <w:spacing w:before="100" w:beforeAutospacing="1" w:after="100" w:afterAutospacing="1"/>
              <w:rPr>
                <w:rFonts w:ascii="Calibri" w:eastAsia="SimSun" w:hAnsi="Calibri" w:hint="eastAsia"/>
                <w:lang w:val="en-US"/>
              </w:rPr>
            </w:pPr>
            <w:r>
              <w:rPr>
                <w:rFonts w:ascii="Calibri" w:hAnsi="Calibri"/>
                <w:lang w:val="en-US"/>
              </w:rPr>
              <w:t>Sharp</w:t>
            </w:r>
          </w:p>
        </w:tc>
        <w:tc>
          <w:tcPr>
            <w:tcW w:w="8432" w:type="dxa"/>
            <w:tcBorders>
              <w:top w:val="nil"/>
              <w:left w:val="nil"/>
              <w:bottom w:val="single" w:sz="8" w:space="0" w:color="auto"/>
              <w:right w:val="single" w:sz="8" w:space="0" w:color="auto"/>
            </w:tcBorders>
            <w:tcMar>
              <w:top w:w="0" w:type="dxa"/>
              <w:left w:w="108" w:type="dxa"/>
              <w:bottom w:w="0" w:type="dxa"/>
              <w:right w:w="108" w:type="dxa"/>
            </w:tcMar>
          </w:tcPr>
          <w:p w14:paraId="712FA352" w14:textId="77777777" w:rsidR="006B24EB" w:rsidRDefault="006B24EB">
            <w:pPr>
              <w:ind w:right="300"/>
              <w:rPr>
                <w:rFonts w:ascii="Calibri" w:hAnsi="Calibri"/>
                <w:lang w:val="en-US"/>
              </w:rPr>
            </w:pPr>
            <w:r>
              <w:rPr>
                <w:rFonts w:ascii="Calibri" w:hAnsi="Calibri"/>
                <w:lang w:val="en-US"/>
              </w:rPr>
              <w:t>We basically agree with HW’s comment and do not agree with current proposal. Regarding the proposal itself, it describes how a SL UE determines the slot of the first sidelink transmission using type 1 CG, does it imply the UE should/must transmit a TB at the determined resource? We suppose it’s not necessary. For Type 1 CG in NR Uu in TS38.321, it only describes the recurring resources of the type 1 CG, which means upon RRC configuration, the resources recur with the configured periodicity.</w:t>
            </w:r>
          </w:p>
          <w:p w14:paraId="4B998496" w14:textId="77777777" w:rsidR="006B24EB" w:rsidRDefault="006B24EB">
            <w:pPr>
              <w:ind w:right="300"/>
              <w:rPr>
                <w:rFonts w:ascii="Calibri" w:hAnsi="Calibri"/>
                <w:lang w:val="en-US"/>
              </w:rPr>
            </w:pPr>
          </w:p>
          <w:p w14:paraId="5B805BD0"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664F14ED" w14:textId="77777777" w:rsidR="006B24EB" w:rsidRDefault="006B24EB">
            <w:pPr>
              <w:ind w:right="300"/>
              <w:rPr>
                <w:rFonts w:ascii="Calibri" w:hAnsi="Calibri"/>
                <w:b/>
                <w:bCs/>
                <w:color w:val="FF0000"/>
                <w:lang w:val="en-US"/>
              </w:rPr>
            </w:pPr>
          </w:p>
          <w:p w14:paraId="02E2A430" w14:textId="77777777" w:rsidR="006B24EB" w:rsidRDefault="006B24EB">
            <w:pPr>
              <w:ind w:right="300"/>
              <w:rPr>
                <w:rFonts w:ascii="Calibri" w:hAnsi="Calibri"/>
                <w:color w:val="FF0000"/>
                <w:lang w:val="en-US"/>
              </w:rPr>
            </w:pPr>
            <w:r>
              <w:rPr>
                <w:rFonts w:ascii="Calibri" w:hAnsi="Calibri"/>
                <w:color w:val="FF0000"/>
                <w:lang w:val="en-US"/>
              </w:rPr>
              <w:t xml:space="preserve">For the first part, see my reply to Huawei, HiSilicon. </w:t>
            </w:r>
          </w:p>
          <w:p w14:paraId="4BC181FB" w14:textId="77777777" w:rsidR="006B24EB" w:rsidRDefault="006B24EB">
            <w:pPr>
              <w:ind w:right="300"/>
              <w:rPr>
                <w:rFonts w:ascii="Calibri" w:hAnsi="Calibri"/>
                <w:color w:val="FF0000"/>
                <w:lang w:val="en-US"/>
              </w:rPr>
            </w:pPr>
            <w:r>
              <w:rPr>
                <w:rFonts w:ascii="Calibri" w:hAnsi="Calibri"/>
                <w:color w:val="FF0000"/>
                <w:lang w:val="en-US"/>
              </w:rPr>
              <w:t>For the second part, you have a good point. There was no intention from my side to mandate transmission in the resources. What about changing the first words in the proposal to something like: “The first slot granted for SL transmission by the configured grant …”</w:t>
            </w:r>
          </w:p>
          <w:p w14:paraId="59A44B08" w14:textId="77777777" w:rsidR="006B24EB" w:rsidRDefault="006B24EB">
            <w:pPr>
              <w:ind w:right="300"/>
              <w:rPr>
                <w:rFonts w:ascii="Calibri" w:hAnsi="Calibri"/>
                <w:color w:val="1F497D"/>
                <w:lang w:val="en-US"/>
              </w:rPr>
            </w:pPr>
            <w:r>
              <w:rPr>
                <w:rFonts w:ascii="Calibri" w:hAnsi="Calibri"/>
                <w:color w:val="1F497D"/>
                <w:lang w:val="en-US"/>
              </w:rPr>
              <w:t>[Sharp]: I agree with your intention and reuse the DG formula as much as possible, while still it’s somehow not clear enough to me on “the first slot granted for SL transmission”. As I said before, in current NR Uu 38.321, only the recurring resources are defined, there is no mention of “the first slot”. Considering “the first slot” determined by the formula, still there will be a last slot in the last one period of SFN (0-1023), then, which slot is “the first slot”? Hence, clarification like e.g. “the first slot within SFN 0-1023” would be more clear.</w:t>
            </w:r>
          </w:p>
          <w:p w14:paraId="0EDF6260" w14:textId="77777777" w:rsidR="006B24EB" w:rsidRDefault="006B24EB">
            <w:pPr>
              <w:ind w:right="300"/>
              <w:rPr>
                <w:rFonts w:ascii="Calibri" w:hAnsi="Calibri"/>
                <w:color w:val="1F497D"/>
                <w:lang w:val="en-US"/>
              </w:rPr>
            </w:pPr>
          </w:p>
          <w:p w14:paraId="2ACDC901"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33A4F3D2" w14:textId="77777777" w:rsidR="006B24EB" w:rsidRDefault="006B24EB">
            <w:pPr>
              <w:ind w:right="300"/>
              <w:rPr>
                <w:rFonts w:ascii="Calibri" w:hAnsi="Calibri"/>
                <w:b/>
                <w:bCs/>
                <w:color w:val="FF0000"/>
                <w:lang w:val="en-US"/>
              </w:rPr>
            </w:pPr>
          </w:p>
          <w:p w14:paraId="5A2A8B91" w14:textId="77777777" w:rsidR="006B24EB" w:rsidRDefault="006B24EB">
            <w:pPr>
              <w:ind w:right="300"/>
              <w:rPr>
                <w:rFonts w:ascii="Calibri" w:hAnsi="Calibri"/>
                <w:color w:val="FF0000"/>
                <w:lang w:val="en-US"/>
              </w:rPr>
            </w:pPr>
            <w:r>
              <w:rPr>
                <w:rFonts w:ascii="Calibri" w:hAnsi="Calibri"/>
                <w:color w:val="FF0000"/>
                <w:lang w:val="en-US"/>
              </w:rPr>
              <w:t xml:space="preserve">See my reply to Huawei, HiSilicon. </w:t>
            </w:r>
          </w:p>
          <w:p w14:paraId="2D391012" w14:textId="77777777" w:rsidR="006B24EB" w:rsidRDefault="006B24EB">
            <w:pPr>
              <w:ind w:right="300"/>
              <w:rPr>
                <w:rFonts w:ascii="Calibri" w:hAnsi="Calibri"/>
                <w:color w:val="FF0000"/>
                <w:lang w:val="en-US"/>
              </w:rPr>
            </w:pPr>
            <w:r>
              <w:rPr>
                <w:rFonts w:ascii="Calibri" w:hAnsi="Calibri"/>
                <w:color w:val="FF0000"/>
                <w:lang w:val="en-US"/>
              </w:rPr>
              <w:t>In my understanding all slots are within SFN 0-1023. I am not sure I got your intention. Could you clarify it?</w:t>
            </w:r>
          </w:p>
          <w:p w14:paraId="012A4694" w14:textId="77777777" w:rsidR="006B24EB" w:rsidRDefault="006B24EB">
            <w:pPr>
              <w:ind w:right="300"/>
              <w:rPr>
                <w:rFonts w:ascii="Calibri" w:hAnsi="Calibri"/>
                <w:color w:val="1F497D"/>
                <w:lang w:val="en-US"/>
              </w:rPr>
            </w:pPr>
          </w:p>
        </w:tc>
      </w:tr>
      <w:tr w:rsidR="006B24EB" w14:paraId="6F2CE81C" w14:textId="77777777" w:rsidTr="006B24EB">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F53D9" w14:textId="77777777" w:rsidR="006B24EB" w:rsidRDefault="006B24EB">
            <w:pPr>
              <w:spacing w:before="100" w:beforeAutospacing="1" w:after="100" w:afterAutospacing="1"/>
              <w:rPr>
                <w:rFonts w:ascii="Calibri" w:hAnsi="Calibri"/>
                <w:lang w:val="en-US"/>
              </w:rPr>
            </w:pPr>
            <w:r>
              <w:rPr>
                <w:rFonts w:ascii="Calibri" w:hAnsi="Calibri"/>
                <w:lang w:val="en-US"/>
              </w:rPr>
              <w:t>LGE</w:t>
            </w:r>
          </w:p>
        </w:tc>
        <w:tc>
          <w:tcPr>
            <w:tcW w:w="8432" w:type="dxa"/>
            <w:tcBorders>
              <w:top w:val="nil"/>
              <w:left w:val="nil"/>
              <w:bottom w:val="single" w:sz="8" w:space="0" w:color="auto"/>
              <w:right w:val="single" w:sz="8" w:space="0" w:color="auto"/>
            </w:tcBorders>
            <w:tcMar>
              <w:top w:w="0" w:type="dxa"/>
              <w:left w:w="108" w:type="dxa"/>
              <w:bottom w:w="0" w:type="dxa"/>
              <w:right w:w="108" w:type="dxa"/>
            </w:tcMar>
          </w:tcPr>
          <w:p w14:paraId="6460B1F4" w14:textId="77777777" w:rsidR="006B24EB" w:rsidRDefault="006B24EB">
            <w:pPr>
              <w:ind w:right="300"/>
              <w:rPr>
                <w:rFonts w:ascii="Calibri" w:hAnsi="Calibri"/>
                <w:lang w:val="en-US"/>
              </w:rPr>
            </w:pPr>
            <w:r>
              <w:rPr>
                <w:rFonts w:ascii="Calibri" w:hAnsi="Calibri"/>
                <w:lang w:val="en-US"/>
              </w:rPr>
              <w:t>The proposal is supported with further clarification below.</w:t>
            </w:r>
          </w:p>
          <w:p w14:paraId="6C97BCDF" w14:textId="77777777" w:rsidR="006B24EB" w:rsidRDefault="006B24EB" w:rsidP="006B24EB">
            <w:pPr>
              <w:numPr>
                <w:ilvl w:val="0"/>
                <w:numId w:val="17"/>
              </w:numPr>
              <w:spacing w:after="0" w:line="252" w:lineRule="auto"/>
              <w:ind w:right="300"/>
              <w:rPr>
                <w:rFonts w:ascii="Calibri" w:hAnsi="Calibri"/>
                <w:sz w:val="20"/>
                <w:szCs w:val="20"/>
                <w:highlight w:val="yellow"/>
                <w:lang w:val="en-US"/>
              </w:rPr>
            </w:pPr>
            <w:r>
              <w:rPr>
                <w:rFonts w:ascii="Calibri" w:hAnsi="Calibri"/>
                <w:highlight w:val="yellow"/>
                <w:lang w:val="en-US"/>
              </w:rPr>
              <w:t xml:space="preserve">After determining the first SL slot of CG type-1, the following SL slots of CG type-1 are determined with periodicity in </w:t>
            </w:r>
            <w:r>
              <w:rPr>
                <w:rFonts w:ascii="Calibri" w:hAnsi="Calibri"/>
                <w:i/>
                <w:iCs/>
                <w:highlight w:val="yellow"/>
                <w:lang w:val="en-US"/>
              </w:rPr>
              <w:t>logical</w:t>
            </w:r>
            <w:r>
              <w:rPr>
                <w:rFonts w:ascii="Calibri" w:hAnsi="Calibri"/>
                <w:highlight w:val="yellow"/>
                <w:lang w:val="en-US"/>
              </w:rPr>
              <w:t xml:space="preserve"> symbols corresponding to the SL resource pool.</w:t>
            </w:r>
          </w:p>
          <w:p w14:paraId="1435B20C" w14:textId="77777777" w:rsidR="006B24EB" w:rsidRDefault="006B24EB">
            <w:pPr>
              <w:ind w:right="300"/>
              <w:rPr>
                <w:rFonts w:ascii="Calibri" w:hAnsi="Calibri"/>
                <w:lang w:val="en-US"/>
              </w:rPr>
            </w:pPr>
          </w:p>
          <w:p w14:paraId="6AFC33B9" w14:textId="77777777" w:rsidR="006B24EB" w:rsidRDefault="006B24EB">
            <w:pPr>
              <w:ind w:right="300"/>
              <w:rPr>
                <w:rFonts w:ascii="Calibri" w:hAnsi="Calibri"/>
                <w:lang w:val="en-US"/>
              </w:rPr>
            </w:pPr>
            <w:r>
              <w:rPr>
                <w:rFonts w:ascii="Calibri" w:hAnsi="Calibri"/>
                <w:lang w:val="en-US"/>
              </w:rPr>
              <w:t>@ OPPO:</w:t>
            </w:r>
          </w:p>
          <w:p w14:paraId="68593757" w14:textId="77777777" w:rsidR="006B24EB" w:rsidRDefault="006B24EB">
            <w:pPr>
              <w:ind w:right="300"/>
              <w:rPr>
                <w:rFonts w:ascii="Calibri" w:hAnsi="Calibri"/>
                <w:lang w:val="en-US"/>
              </w:rPr>
            </w:pPr>
            <w:r>
              <w:rPr>
                <w:rFonts w:ascii="Calibri" w:hAnsi="Calibri"/>
                <w:lang w:val="en-US"/>
              </w:rPr>
              <w:t>Considering the RRC processing time and the number of HARQ retransmission of RRC are different per UE, it is impossible for gNB to exactly know when the RRC is successfully decoded by UEs. Therefore the absolute time of T_DL cannot be used.</w:t>
            </w:r>
          </w:p>
          <w:p w14:paraId="41ACFD9D" w14:textId="77777777" w:rsidR="006B24EB" w:rsidRDefault="006B24EB">
            <w:pPr>
              <w:ind w:right="300"/>
              <w:rPr>
                <w:rFonts w:ascii="Calibri" w:hAnsi="Calibri"/>
                <w:lang w:val="en-US"/>
              </w:rPr>
            </w:pPr>
          </w:p>
          <w:p w14:paraId="248A574A" w14:textId="77777777" w:rsidR="006B24EB" w:rsidRDefault="006B24EB">
            <w:pPr>
              <w:ind w:right="300"/>
              <w:rPr>
                <w:rFonts w:ascii="Calibri" w:hAnsi="Calibri"/>
                <w:lang w:val="en-US"/>
              </w:rPr>
            </w:pPr>
            <w:r>
              <w:rPr>
                <w:rFonts w:ascii="Calibri" w:hAnsi="Calibri"/>
                <w:lang w:val="en-US"/>
              </w:rPr>
              <w:t>@ HW, HiSi</w:t>
            </w:r>
          </w:p>
          <w:p w14:paraId="6A4370E5" w14:textId="77777777" w:rsidR="006B24EB" w:rsidRDefault="006B24EB">
            <w:pPr>
              <w:ind w:right="300"/>
              <w:rPr>
                <w:rFonts w:ascii="Calibri" w:hAnsi="Calibri"/>
                <w:color w:val="1F497D"/>
                <w:lang w:val="en-US"/>
              </w:rPr>
            </w:pPr>
            <w:r>
              <w:rPr>
                <w:rFonts w:ascii="Calibri" w:hAnsi="Calibri"/>
                <w:lang w:val="en-US"/>
              </w:rPr>
              <w:t>We prefer to use NR Uu operation as much as possible. In NR Uu, the periodicity is defined in number of symbols. For SL, the network can easily manage the periodicity as the multiples of the number of symbols per slot, which should be no problem.</w:t>
            </w:r>
          </w:p>
          <w:p w14:paraId="384EF82E" w14:textId="77777777" w:rsidR="006B24EB" w:rsidRDefault="006B24EB">
            <w:pPr>
              <w:ind w:right="300"/>
              <w:rPr>
                <w:rFonts w:ascii="Calibri" w:hAnsi="Calibri"/>
                <w:lang w:val="en-US"/>
              </w:rPr>
            </w:pPr>
          </w:p>
          <w:p w14:paraId="4893C145" w14:textId="77777777" w:rsidR="006B24EB" w:rsidRDefault="006B24EB">
            <w:pPr>
              <w:ind w:right="300"/>
              <w:rPr>
                <w:rFonts w:ascii="Calibri" w:hAnsi="Calibri"/>
                <w:lang w:val="en-US"/>
              </w:rPr>
            </w:pPr>
            <w:r>
              <w:rPr>
                <w:rFonts w:ascii="Calibri" w:hAnsi="Calibri"/>
                <w:lang w:val="en-US"/>
              </w:rPr>
              <w:t>@ Sharp:</w:t>
            </w:r>
          </w:p>
          <w:p w14:paraId="676A559F" w14:textId="77777777" w:rsidR="006B24EB" w:rsidRDefault="006B24EB">
            <w:pPr>
              <w:ind w:right="300"/>
              <w:rPr>
                <w:rFonts w:ascii="Calibri" w:hAnsi="Calibri"/>
                <w:lang w:val="en-US"/>
              </w:rPr>
            </w:pPr>
            <w:r>
              <w:rPr>
                <w:rFonts w:ascii="Calibri" w:hAnsi="Calibri"/>
                <w:lang w:val="en-US"/>
              </w:rPr>
              <w:t>See also the response to HW, HiSi above. Regarding the question, the procedure simply says that the CG type-1 resources are determined in that way. It does not mean that UE should transmit something on the configured resources, in general.</w:t>
            </w:r>
          </w:p>
          <w:p w14:paraId="7563A1A1" w14:textId="77777777" w:rsidR="006B24EB" w:rsidRDefault="006B24EB">
            <w:pPr>
              <w:ind w:right="300"/>
              <w:rPr>
                <w:rFonts w:ascii="Calibri" w:hAnsi="Calibri"/>
                <w:lang w:val="en-US"/>
              </w:rPr>
            </w:pPr>
          </w:p>
          <w:p w14:paraId="0A3C9AC6"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520A4604" w14:textId="77777777" w:rsidR="006B24EB" w:rsidRDefault="006B24EB">
            <w:pPr>
              <w:ind w:right="300"/>
              <w:rPr>
                <w:rFonts w:ascii="Calibri" w:hAnsi="Calibri"/>
                <w:lang w:val="en-US"/>
              </w:rPr>
            </w:pPr>
            <w:r>
              <w:rPr>
                <w:rFonts w:ascii="Calibri" w:hAnsi="Calibri"/>
                <w:color w:val="FF0000"/>
                <w:lang w:val="en-US"/>
              </w:rPr>
              <w:t>Let’s discuss the clarification while drafting the TP. I hope this is still fine with you given that this is almost verbatim from your contribution.</w:t>
            </w:r>
          </w:p>
        </w:tc>
      </w:tr>
      <w:tr w:rsidR="006B24EB" w14:paraId="5FE3F25B" w14:textId="77777777" w:rsidTr="006B24EB">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16027" w14:textId="77777777" w:rsidR="006B24EB" w:rsidRDefault="006B24EB">
            <w:pPr>
              <w:spacing w:before="100" w:beforeAutospacing="1" w:after="100" w:afterAutospacing="1"/>
              <w:rPr>
                <w:rFonts w:ascii="Calibri" w:hAnsi="Calibri"/>
                <w:lang w:val="en-US"/>
              </w:rPr>
            </w:pPr>
            <w:r>
              <w:rPr>
                <w:rFonts w:ascii="Calibri" w:hAnsi="Calibri"/>
                <w:lang w:val="en-US"/>
              </w:rPr>
              <w:t>Qualcomm</w:t>
            </w:r>
          </w:p>
        </w:tc>
        <w:tc>
          <w:tcPr>
            <w:tcW w:w="8432" w:type="dxa"/>
            <w:tcBorders>
              <w:top w:val="nil"/>
              <w:left w:val="nil"/>
              <w:bottom w:val="single" w:sz="8" w:space="0" w:color="auto"/>
              <w:right w:val="single" w:sz="8" w:space="0" w:color="auto"/>
            </w:tcBorders>
            <w:tcMar>
              <w:top w:w="0" w:type="dxa"/>
              <w:left w:w="108" w:type="dxa"/>
              <w:bottom w:w="0" w:type="dxa"/>
              <w:right w:w="108" w:type="dxa"/>
            </w:tcMar>
          </w:tcPr>
          <w:p w14:paraId="036273E4" w14:textId="77777777" w:rsidR="006B24EB" w:rsidRDefault="006B24EB">
            <w:pPr>
              <w:ind w:right="300"/>
              <w:rPr>
                <w:rFonts w:ascii="Calibri" w:hAnsi="Calibri"/>
                <w:lang w:val="en-US"/>
              </w:rPr>
            </w:pPr>
            <w:r>
              <w:rPr>
                <w:rFonts w:ascii="Calibri" w:hAnsi="Calibri"/>
                <w:lang w:val="en-US"/>
              </w:rPr>
              <w:t>We share the view that using slots instead of symbols would be clearer.</w:t>
            </w:r>
          </w:p>
          <w:p w14:paraId="73049C62" w14:textId="77777777" w:rsidR="006B24EB" w:rsidRDefault="006B24EB">
            <w:pPr>
              <w:ind w:right="300"/>
              <w:rPr>
                <w:rFonts w:ascii="Calibri" w:hAnsi="Calibri"/>
                <w:lang w:val="en-US"/>
              </w:rPr>
            </w:pPr>
            <w:r>
              <w:rPr>
                <w:rFonts w:ascii="Calibri" w:hAnsi="Calibri"/>
                <w:lang w:val="en-US"/>
              </w:rPr>
              <w:t>In the end, we’re ok with either unit. However, if symbols are used, (pre)configuration should guarantee that the period is a multiple of the duration of a slot.</w:t>
            </w:r>
          </w:p>
          <w:p w14:paraId="12F06267" w14:textId="77777777" w:rsidR="006B24EB" w:rsidRDefault="006B24EB">
            <w:pPr>
              <w:ind w:right="300"/>
              <w:rPr>
                <w:rFonts w:ascii="Calibri" w:hAnsi="Calibri"/>
                <w:lang w:val="en-US"/>
              </w:rPr>
            </w:pPr>
          </w:p>
          <w:p w14:paraId="2AFBB434"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153CFDDE" w14:textId="77777777" w:rsidR="006B24EB" w:rsidRDefault="006B24EB">
            <w:pPr>
              <w:ind w:right="300"/>
              <w:rPr>
                <w:rFonts w:ascii="Calibri" w:hAnsi="Calibri"/>
                <w:lang w:val="en-US"/>
              </w:rPr>
            </w:pPr>
            <w:r>
              <w:rPr>
                <w:rFonts w:ascii="Calibri" w:hAnsi="Calibri"/>
                <w:color w:val="FF0000"/>
                <w:lang w:val="en-US"/>
              </w:rPr>
              <w:t>Thanks for your suggestions. I agree we can go either way.</w:t>
            </w:r>
          </w:p>
        </w:tc>
      </w:tr>
    </w:tbl>
    <w:p w14:paraId="3532478D" w14:textId="77777777" w:rsidR="006B24EB" w:rsidRDefault="006B24EB" w:rsidP="006B24EB">
      <w:pPr>
        <w:spacing w:after="0" w:line="240" w:lineRule="auto"/>
        <w:ind w:right="300"/>
        <w:rPr>
          <w:lang w:val="en-US"/>
        </w:rPr>
      </w:pPr>
    </w:p>
    <w:p w14:paraId="64EFCC21" w14:textId="77777777" w:rsidR="006B24EB" w:rsidRDefault="006B24EB" w:rsidP="006B24EB">
      <w:pPr>
        <w:pStyle w:val="Heading3"/>
      </w:pPr>
      <w:r>
        <w:t>Q3: Determination of the slot of the first sidelink transmission for LTE Uu scheduling NR sidelink</w:t>
      </w:r>
    </w:p>
    <w:p w14:paraId="4DE089CF" w14:textId="77777777" w:rsidR="006B24EB" w:rsidRDefault="006B24EB" w:rsidP="006B24EB">
      <w:pPr>
        <w:rPr>
          <w:rFonts w:ascii="Calibri" w:eastAsia="SimSun" w:hAnsi="Calibri" w:cs="Calibri"/>
          <w:lang w:val="en-US" w:eastAsia="ja-JP"/>
        </w:rPr>
      </w:pPr>
      <w:r>
        <w:rPr>
          <w:rFonts w:ascii="Calibri" w:hAnsi="Calibri"/>
          <w:lang w:val="en-US" w:eastAsia="ja-JP"/>
        </w:rPr>
        <w:t>Views:</w:t>
      </w:r>
    </w:p>
    <w:tbl>
      <w:tblPr>
        <w:tblW w:w="0" w:type="auto"/>
        <w:tblCellMar>
          <w:left w:w="0" w:type="dxa"/>
          <w:right w:w="0" w:type="dxa"/>
        </w:tblCellMar>
        <w:tblLook w:val="04A0" w:firstRow="1" w:lastRow="0" w:firstColumn="1" w:lastColumn="0" w:noHBand="0" w:noVBand="1"/>
      </w:tblPr>
      <w:tblGrid>
        <w:gridCol w:w="1175"/>
        <w:gridCol w:w="8444"/>
      </w:tblGrid>
      <w:tr w:rsidR="006B24EB" w14:paraId="2DBB58EC" w14:textId="77777777" w:rsidTr="006B24EB">
        <w:tc>
          <w:tcPr>
            <w:tcW w:w="126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A13B5B9" w14:textId="77777777" w:rsidR="006B24EB" w:rsidRDefault="006B24EB">
            <w:pPr>
              <w:jc w:val="center"/>
              <w:rPr>
                <w:rFonts w:ascii="Calibri" w:hAnsi="Calibri"/>
                <w:b/>
                <w:bCs/>
                <w:lang w:val="en-US" w:eastAsia="fi-FI"/>
              </w:rPr>
            </w:pPr>
            <w:r>
              <w:rPr>
                <w:rFonts w:ascii="Calibri" w:hAnsi="Calibri"/>
                <w:b/>
                <w:bCs/>
                <w:lang w:val="en-US"/>
              </w:rPr>
              <w:t>Company</w:t>
            </w:r>
          </w:p>
        </w:tc>
        <w:tc>
          <w:tcPr>
            <w:tcW w:w="1530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12F46C9" w14:textId="77777777" w:rsidR="006B24EB" w:rsidRDefault="006B24EB">
            <w:pPr>
              <w:jc w:val="center"/>
              <w:rPr>
                <w:rFonts w:ascii="Calibri" w:hAnsi="Calibri"/>
                <w:b/>
                <w:bCs/>
                <w:lang w:val="en-US"/>
              </w:rPr>
            </w:pPr>
            <w:r>
              <w:rPr>
                <w:rFonts w:ascii="Calibri" w:hAnsi="Calibri"/>
                <w:b/>
                <w:bCs/>
                <w:color w:val="000000"/>
                <w:lang w:val="en-US"/>
              </w:rPr>
              <w:t>View</w:t>
            </w:r>
          </w:p>
        </w:tc>
      </w:tr>
      <w:tr w:rsidR="006B24EB" w14:paraId="0FA9DDD5" w14:textId="77777777" w:rsidTr="006B24EB">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F2FA7" w14:textId="77777777" w:rsidR="006B24EB" w:rsidRDefault="006B24EB">
            <w:pPr>
              <w:rPr>
                <w:rFonts w:ascii="Calibri" w:hAnsi="Calibri"/>
                <w:lang w:val="en-US"/>
              </w:rPr>
            </w:pPr>
            <w:r>
              <w:rPr>
                <w:rFonts w:ascii="Calibri" w:hAnsi="Calibri"/>
                <w:color w:val="000000"/>
                <w:lang w:val="en-US"/>
              </w:rPr>
              <w:t>LGE</w:t>
            </w:r>
          </w:p>
        </w:tc>
        <w:tc>
          <w:tcPr>
            <w:tcW w:w="15309" w:type="dxa"/>
            <w:tcBorders>
              <w:top w:val="nil"/>
              <w:left w:val="nil"/>
              <w:bottom w:val="single" w:sz="8" w:space="0" w:color="auto"/>
              <w:right w:val="single" w:sz="8" w:space="0" w:color="auto"/>
            </w:tcBorders>
            <w:tcMar>
              <w:top w:w="0" w:type="dxa"/>
              <w:left w:w="108" w:type="dxa"/>
              <w:bottom w:w="0" w:type="dxa"/>
              <w:right w:w="108" w:type="dxa"/>
            </w:tcMar>
          </w:tcPr>
          <w:p w14:paraId="03E3CBF3" w14:textId="77777777" w:rsidR="006B24EB" w:rsidRDefault="006B24EB">
            <w:pPr>
              <w:rPr>
                <w:rFonts w:ascii="Calibri" w:hAnsi="Calibri"/>
                <w:lang w:val="en-US"/>
              </w:rPr>
            </w:pPr>
            <w:r>
              <w:rPr>
                <w:rFonts w:ascii="Calibri" w:hAnsi="Calibri"/>
                <w:lang w:val="en-US"/>
              </w:rPr>
              <w:t>The proposal is supported with the clarification that SFN=0 is defined on LTE DL carrier.</w:t>
            </w:r>
          </w:p>
          <w:p w14:paraId="5513D82E" w14:textId="77777777" w:rsidR="006B24EB" w:rsidRDefault="006B24EB">
            <w:pPr>
              <w:rPr>
                <w:rFonts w:ascii="Calibri" w:hAnsi="Calibri"/>
                <w:lang w:val="en-US"/>
              </w:rPr>
            </w:pPr>
          </w:p>
          <w:p w14:paraId="755951AC"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7E9F2213" w14:textId="77777777" w:rsidR="006B24EB" w:rsidRDefault="006B24EB">
            <w:pPr>
              <w:ind w:right="300"/>
              <w:rPr>
                <w:rFonts w:ascii="Calibri" w:hAnsi="Calibri"/>
                <w:b/>
                <w:bCs/>
                <w:color w:val="FF0000"/>
                <w:lang w:val="en-US"/>
              </w:rPr>
            </w:pPr>
          </w:p>
          <w:p w14:paraId="39EB3700" w14:textId="77777777" w:rsidR="006B24EB" w:rsidRDefault="006B24EB">
            <w:pPr>
              <w:rPr>
                <w:rFonts w:ascii="Calibri" w:hAnsi="Calibri"/>
                <w:lang w:val="en-US"/>
              </w:rPr>
            </w:pPr>
            <w:r>
              <w:rPr>
                <w:rFonts w:ascii="Calibri" w:hAnsi="Calibri"/>
                <w:color w:val="FF0000"/>
                <w:lang w:val="en-US"/>
              </w:rPr>
              <w:t>That makes sense. I have added the clarification.</w:t>
            </w:r>
          </w:p>
        </w:tc>
      </w:tr>
      <w:tr w:rsidR="006B24EB" w14:paraId="5FC0F422" w14:textId="77777777" w:rsidTr="006B24EB">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FFE43" w14:textId="77777777" w:rsidR="006B24EB" w:rsidRDefault="006B24EB">
            <w:pPr>
              <w:rPr>
                <w:rFonts w:ascii="Calibri" w:hAnsi="Calibri"/>
                <w:lang w:val="en-US"/>
              </w:rPr>
            </w:pPr>
          </w:p>
        </w:tc>
        <w:tc>
          <w:tcPr>
            <w:tcW w:w="15309" w:type="dxa"/>
            <w:tcBorders>
              <w:top w:val="nil"/>
              <w:left w:val="nil"/>
              <w:bottom w:val="single" w:sz="8" w:space="0" w:color="auto"/>
              <w:right w:val="single" w:sz="8" w:space="0" w:color="auto"/>
            </w:tcBorders>
            <w:tcMar>
              <w:top w:w="0" w:type="dxa"/>
              <w:left w:w="108" w:type="dxa"/>
              <w:bottom w:w="0" w:type="dxa"/>
              <w:right w:w="108" w:type="dxa"/>
            </w:tcMar>
          </w:tcPr>
          <w:p w14:paraId="34BA0790" w14:textId="77777777" w:rsidR="006B24EB" w:rsidRDefault="006B24EB">
            <w:pPr>
              <w:rPr>
                <w:rFonts w:ascii="Calibri" w:hAnsi="Calibri"/>
                <w:lang w:val="en-US"/>
              </w:rPr>
            </w:pPr>
          </w:p>
        </w:tc>
      </w:tr>
      <w:tr w:rsidR="006B24EB" w14:paraId="08359037" w14:textId="77777777" w:rsidTr="006B24EB">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629E83" w14:textId="77777777" w:rsidR="006B24EB" w:rsidRDefault="006B24EB">
            <w:pPr>
              <w:rPr>
                <w:rFonts w:ascii="Calibri" w:hAnsi="Calibri"/>
                <w:lang w:val="en-US"/>
              </w:rPr>
            </w:pPr>
          </w:p>
        </w:tc>
        <w:tc>
          <w:tcPr>
            <w:tcW w:w="15309" w:type="dxa"/>
            <w:tcBorders>
              <w:top w:val="nil"/>
              <w:left w:val="nil"/>
              <w:bottom w:val="single" w:sz="8" w:space="0" w:color="auto"/>
              <w:right w:val="single" w:sz="8" w:space="0" w:color="auto"/>
            </w:tcBorders>
            <w:tcMar>
              <w:top w:w="0" w:type="dxa"/>
              <w:left w:w="108" w:type="dxa"/>
              <w:bottom w:w="0" w:type="dxa"/>
              <w:right w:w="108" w:type="dxa"/>
            </w:tcMar>
          </w:tcPr>
          <w:p w14:paraId="4A67B91E" w14:textId="77777777" w:rsidR="006B24EB" w:rsidRDefault="006B24EB">
            <w:pPr>
              <w:rPr>
                <w:rFonts w:ascii="Calibri" w:hAnsi="Calibri"/>
                <w:lang w:val="en-US"/>
              </w:rPr>
            </w:pPr>
          </w:p>
        </w:tc>
      </w:tr>
    </w:tbl>
    <w:p w14:paraId="5E76FB02" w14:textId="77777777" w:rsidR="006B24EB" w:rsidRDefault="006B24EB" w:rsidP="006B24EB">
      <w:pPr>
        <w:spacing w:after="0" w:line="240" w:lineRule="auto"/>
        <w:ind w:right="300"/>
        <w:rPr>
          <w:lang w:val="en-US"/>
        </w:rPr>
      </w:pPr>
    </w:p>
    <w:p w14:paraId="7C053D3C" w14:textId="77777777" w:rsidR="006B24EB" w:rsidRDefault="006B24EB" w:rsidP="006B24EB">
      <w:pPr>
        <w:spacing w:after="0" w:line="240" w:lineRule="auto"/>
        <w:ind w:right="300"/>
        <w:rPr>
          <w:lang w:val="en-US"/>
        </w:rPr>
      </w:pPr>
    </w:p>
    <w:p w14:paraId="700B2C51" w14:textId="77777777" w:rsidR="006B24EB" w:rsidRDefault="006B24EB" w:rsidP="006B24EB">
      <w:pPr>
        <w:pStyle w:val="Heading3"/>
        <w:rPr>
          <w:rFonts w:eastAsia="SimSun" w:cs="Calibri"/>
          <w:lang w:val="en-US"/>
        </w:rPr>
      </w:pPr>
      <w:r>
        <w:t>Q4: Determination of the slot of the uplink transmission for SL HARQ-ACK reporting to the gNB</w:t>
      </w:r>
    </w:p>
    <w:p w14:paraId="588C4E1A" w14:textId="77777777" w:rsidR="006B24EB" w:rsidRDefault="006B24EB" w:rsidP="006B24EB">
      <w:pPr>
        <w:spacing w:after="0" w:line="240" w:lineRule="auto"/>
        <w:rPr>
          <w:lang w:val="en-US"/>
        </w:rPr>
      </w:pPr>
    </w:p>
    <w:tbl>
      <w:tblPr>
        <w:tblW w:w="0" w:type="auto"/>
        <w:tblCellMar>
          <w:left w:w="0" w:type="dxa"/>
          <w:right w:w="0" w:type="dxa"/>
        </w:tblCellMar>
        <w:tblLook w:val="04A0" w:firstRow="1" w:lastRow="0" w:firstColumn="1" w:lastColumn="0" w:noHBand="0" w:noVBand="1"/>
      </w:tblPr>
      <w:tblGrid>
        <w:gridCol w:w="983"/>
        <w:gridCol w:w="8636"/>
      </w:tblGrid>
      <w:tr w:rsidR="006B24EB" w14:paraId="28C092EE" w14:textId="77777777" w:rsidTr="006B24EB">
        <w:tc>
          <w:tcPr>
            <w:tcW w:w="3256" w:type="dxa"/>
            <w:tcBorders>
              <w:top w:val="single" w:sz="8" w:space="0" w:color="999999"/>
              <w:left w:val="single" w:sz="8" w:space="0" w:color="999999"/>
              <w:bottom w:val="single" w:sz="12" w:space="0" w:color="666666"/>
              <w:right w:val="single" w:sz="8" w:space="0" w:color="999999"/>
            </w:tcBorders>
            <w:shd w:val="clear" w:color="auto" w:fill="E7E6E6"/>
            <w:tcMar>
              <w:top w:w="0" w:type="dxa"/>
              <w:left w:w="108" w:type="dxa"/>
              <w:bottom w:w="0" w:type="dxa"/>
              <w:right w:w="108" w:type="dxa"/>
            </w:tcMar>
            <w:hideMark/>
          </w:tcPr>
          <w:p w14:paraId="0A8135CF" w14:textId="77777777" w:rsidR="006B24EB" w:rsidRDefault="006B24EB">
            <w:pPr>
              <w:jc w:val="center"/>
              <w:rPr>
                <w:rFonts w:ascii="Calibri" w:eastAsia="SimSun" w:hAnsi="Calibri" w:cs="Calibri"/>
                <w:b/>
                <w:bCs/>
                <w:lang w:val="en-US" w:eastAsia="fi-FI"/>
              </w:rPr>
            </w:pPr>
            <w:r>
              <w:rPr>
                <w:rFonts w:ascii="Calibri" w:hAnsi="Calibri"/>
                <w:b/>
                <w:bCs/>
                <w:lang w:val="en-US"/>
              </w:rPr>
              <w:t>Company</w:t>
            </w:r>
          </w:p>
        </w:tc>
        <w:tc>
          <w:tcPr>
            <w:tcW w:w="18994" w:type="dxa"/>
            <w:tcBorders>
              <w:top w:val="single" w:sz="8" w:space="0" w:color="999999"/>
              <w:left w:val="nil"/>
              <w:bottom w:val="single" w:sz="12" w:space="0" w:color="666666"/>
              <w:right w:val="single" w:sz="8" w:space="0" w:color="999999"/>
            </w:tcBorders>
            <w:shd w:val="clear" w:color="auto" w:fill="E7E6E6"/>
            <w:tcMar>
              <w:top w:w="0" w:type="dxa"/>
              <w:left w:w="108" w:type="dxa"/>
              <w:bottom w:w="0" w:type="dxa"/>
              <w:right w:w="108" w:type="dxa"/>
            </w:tcMar>
            <w:hideMark/>
          </w:tcPr>
          <w:p w14:paraId="19FA0C8F" w14:textId="77777777" w:rsidR="006B24EB" w:rsidRDefault="006B24EB">
            <w:pPr>
              <w:jc w:val="center"/>
              <w:rPr>
                <w:rFonts w:ascii="Calibri" w:hAnsi="Calibri"/>
                <w:b/>
                <w:bCs/>
                <w:lang w:val="en-US"/>
              </w:rPr>
            </w:pPr>
            <w:r>
              <w:rPr>
                <w:rFonts w:ascii="Calibri" w:hAnsi="Calibri"/>
                <w:b/>
                <w:bCs/>
                <w:color w:val="000000"/>
                <w:lang w:val="en-US"/>
              </w:rPr>
              <w:t>View</w:t>
            </w:r>
          </w:p>
        </w:tc>
      </w:tr>
      <w:tr w:rsidR="006B24EB" w14:paraId="6004CDF4" w14:textId="77777777" w:rsidTr="006B24EB">
        <w:tc>
          <w:tcPr>
            <w:tcW w:w="3256" w:type="dxa"/>
            <w:tcBorders>
              <w:top w:val="nil"/>
              <w:left w:val="single" w:sz="8" w:space="0" w:color="999999"/>
              <w:bottom w:val="single" w:sz="8" w:space="0" w:color="auto"/>
              <w:right w:val="single" w:sz="8" w:space="0" w:color="999999"/>
            </w:tcBorders>
            <w:tcMar>
              <w:top w:w="0" w:type="dxa"/>
              <w:left w:w="108" w:type="dxa"/>
              <w:bottom w:w="0" w:type="dxa"/>
              <w:right w:w="108" w:type="dxa"/>
            </w:tcMar>
            <w:hideMark/>
          </w:tcPr>
          <w:p w14:paraId="7ED18B26" w14:textId="77777777" w:rsidR="006B24EB" w:rsidRDefault="006B24EB">
            <w:pPr>
              <w:rPr>
                <w:rFonts w:ascii="Calibri" w:hAnsi="Calibri"/>
                <w:lang w:val="x-none"/>
              </w:rPr>
            </w:pPr>
            <w:r>
              <w:rPr>
                <w:rFonts w:ascii="Calibri" w:hAnsi="Calibri"/>
                <w:lang w:val="x-none"/>
              </w:rPr>
              <w:t>NTT DOCOMO</w:t>
            </w:r>
          </w:p>
        </w:tc>
        <w:tc>
          <w:tcPr>
            <w:tcW w:w="18994" w:type="dxa"/>
            <w:tcBorders>
              <w:top w:val="nil"/>
              <w:left w:val="nil"/>
              <w:bottom w:val="single" w:sz="8" w:space="0" w:color="auto"/>
              <w:right w:val="single" w:sz="8" w:space="0" w:color="999999"/>
            </w:tcBorders>
            <w:tcMar>
              <w:top w:w="0" w:type="dxa"/>
              <w:left w:w="108" w:type="dxa"/>
              <w:bottom w:w="0" w:type="dxa"/>
              <w:right w:w="108" w:type="dxa"/>
            </w:tcMar>
          </w:tcPr>
          <w:p w14:paraId="47D43713" w14:textId="77777777" w:rsidR="006B24EB" w:rsidRDefault="006B24EB">
            <w:pPr>
              <w:rPr>
                <w:rFonts w:ascii="Calibri" w:hAnsi="Calibri"/>
                <w:lang w:val="x-none"/>
              </w:rPr>
            </w:pPr>
            <w:r>
              <w:rPr>
                <w:rFonts w:ascii="Calibri" w:hAnsi="Calibri"/>
                <w:lang w:val="x-none"/>
              </w:rPr>
              <w:t>We support the direction. We have one comment on this proposal and one comment to some companies.</w:t>
            </w:r>
          </w:p>
          <w:p w14:paraId="3351C0ED" w14:textId="77777777" w:rsidR="006B24EB" w:rsidRDefault="006B24EB">
            <w:pPr>
              <w:rPr>
                <w:rFonts w:ascii="Calibri" w:hAnsi="Calibri"/>
                <w:lang w:val="x-none"/>
              </w:rPr>
            </w:pPr>
            <w:r>
              <w:rPr>
                <w:rFonts w:ascii="Calibri" w:hAnsi="Calibri"/>
                <w:lang w:val="x-none"/>
              </w:rPr>
              <w:t>- 2nd bullet seems a little unclear. The point is, slot boundary of UL carrier is aligned with SL carrier, where slot index is not related. Because, for PSCCH/PSSCH scheduling, SL resource is decided based on the formula of Q1. The procedure does not consider slot index, considers just slot boundary. In other words, the max offset between UL carrier and SL carrier is less than one SL slot. (i.e. Illustration provided by LG is not collect. SYNC should be considered with UL carrier. NOT DL carrier. gNB schedules SL resource as a UL carrier in terms of the timing. It is noted that, in NR-Uu, K is counted by UL carrier.) ‘timing of Uu’ does not mention the details of this point. Further clarification is necessary here for making CR on the next step. Our suggestion for the update is the following:</w:t>
            </w:r>
          </w:p>
          <w:p w14:paraId="62630296" w14:textId="77777777" w:rsidR="006B24EB" w:rsidRDefault="006B24EB" w:rsidP="006B24EB">
            <w:pPr>
              <w:numPr>
                <w:ilvl w:val="0"/>
                <w:numId w:val="18"/>
              </w:numPr>
              <w:spacing w:after="0" w:line="252" w:lineRule="auto"/>
              <w:rPr>
                <w:rFonts w:ascii="Calibri" w:hAnsi="Calibri"/>
                <w:color w:val="FF0000"/>
                <w:lang w:val="en-US"/>
              </w:rPr>
            </w:pPr>
            <w:r>
              <w:rPr>
                <w:rFonts w:ascii="Calibri" w:hAnsi="Calibri"/>
                <w:lang w:val="en-US"/>
              </w:rPr>
              <w:t xml:space="preserve">To derive the time of SL HARQ-ACK to the gNB, </w:t>
            </w:r>
            <w:r>
              <w:rPr>
                <w:rFonts w:ascii="Calibri" w:hAnsi="Calibri"/>
                <w:strike/>
                <w:color w:val="FF0000"/>
                <w:lang w:val="en-US"/>
              </w:rPr>
              <w:t>the timing of Uu is used</w:t>
            </w:r>
            <w:r>
              <w:rPr>
                <w:rFonts w:ascii="Calibri" w:hAnsi="Calibri"/>
                <w:lang w:val="en-US"/>
              </w:rPr>
              <w:t xml:space="preserve"> </w:t>
            </w:r>
            <w:r>
              <w:rPr>
                <w:rFonts w:ascii="Calibri" w:hAnsi="Calibri"/>
                <w:color w:val="FF0000"/>
                <w:lang w:val="en-US"/>
              </w:rPr>
              <w:t>PSFCH-to-HARQ_feedback_timing indicator field = 0 slot is the UL slot overlapped with the corresponding PSFCH in case that slot boundary of the SL carrier is aligned with slot boundary of the UL carrier.</w:t>
            </w:r>
            <w:r>
              <w:rPr>
                <w:rFonts w:hint="eastAsia"/>
                <w:color w:val="FF0000"/>
                <w:lang w:val="en-US"/>
              </w:rPr>
              <w:t xml:space="preserve"> </w:t>
            </w:r>
          </w:p>
          <w:p w14:paraId="0B672111" w14:textId="77777777" w:rsidR="006B24EB" w:rsidRDefault="006B24EB" w:rsidP="006B24EB">
            <w:pPr>
              <w:numPr>
                <w:ilvl w:val="1"/>
                <w:numId w:val="18"/>
              </w:numPr>
              <w:spacing w:after="0" w:line="252" w:lineRule="auto"/>
              <w:rPr>
                <w:rFonts w:ascii="Calibri" w:hAnsi="Calibri"/>
                <w:color w:val="FF0000"/>
                <w:lang w:val="en-US"/>
              </w:rPr>
            </w:pPr>
            <w:r>
              <w:rPr>
                <w:rFonts w:ascii="Calibri" w:hAnsi="Calibri"/>
                <w:color w:val="FF0000"/>
                <w:lang w:val="en-US"/>
              </w:rPr>
              <w:t>If the slot boundary is not aligned, the slot boundary of the SL carrier is regarded as aligned with the most resent slot boundary of the UL carrier.</w:t>
            </w:r>
          </w:p>
          <w:p w14:paraId="0E6C4439" w14:textId="2B95CAFE" w:rsidR="006B24EB" w:rsidRDefault="006B24EB">
            <w:pPr>
              <w:rPr>
                <w:rFonts w:ascii="Calibri" w:hAnsi="Calibri"/>
                <w:lang w:val="en-US"/>
              </w:rPr>
            </w:pPr>
            <w:r>
              <w:rPr>
                <w:rFonts w:ascii="Calibri" w:hAnsi="Calibri"/>
                <w:noProof/>
                <w:lang w:val="en-US"/>
              </w:rPr>
              <mc:AlternateContent>
                <mc:Choice Requires="wps">
                  <w:drawing>
                    <wp:inline distT="0" distB="0" distL="0" distR="0" wp14:anchorId="7FBBA95F" wp14:editId="1992B0D0">
                      <wp:extent cx="5257800" cy="3409950"/>
                      <wp:effectExtent l="0" t="0" r="0" b="0"/>
                      <wp:docPr id="7"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57800" cy="3409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3F858C" id="Rectangle 7" o:spid="_x0000_s1026" style="width:414pt;height: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" filled="f" stroked="f">
                      <o:lock v:ext="edit" aspectratio="t"/>
                      <w10:anchorlock/>
                    </v:rect>
                  </w:pict>
                </mc:Fallback>
              </mc:AlternateContent>
            </w:r>
          </w:p>
          <w:p w14:paraId="6A81F747" w14:textId="77777777" w:rsidR="006B24EB" w:rsidRDefault="006B24EB">
            <w:pPr>
              <w:rPr>
                <w:rFonts w:ascii="Calibri" w:hAnsi="Calibri"/>
                <w:lang w:val="en-US"/>
              </w:rPr>
            </w:pPr>
            <w:r>
              <w:rPr>
                <w:rFonts w:ascii="Calibri" w:hAnsi="Calibri"/>
                <w:lang w:val="en-US"/>
              </w:rPr>
              <w:t>- Some companies propose the same mechanism as SL scheduling, but in this case, PUCCH timing has ambiguity. As the above illustration, K=0 is different between sync case and async case. To avoid blind detection at gNB, the same mechanism as SL scheduling is not good choice. PSFCH processing time may be one concern on the current proposal. But gNB knows the max offset between SL carrier and UL carrier (one SL slot as we mentioned at the first comment). Therefore, gNB shall indicate PUCCH slot to ensure PSFCH processing time in case that the offset is maximum. The discussion can be done in the next meeting, but at least the issue can be solved. The current proposed mechanism is fine from processing time perspective.</w:t>
            </w:r>
          </w:p>
          <w:p w14:paraId="16F83DF4" w14:textId="77777777" w:rsidR="006B24EB" w:rsidRDefault="006B24EB">
            <w:pPr>
              <w:rPr>
                <w:rFonts w:ascii="Calibri" w:hAnsi="Calibri"/>
                <w:lang w:val="en-US"/>
              </w:rPr>
            </w:pPr>
          </w:p>
          <w:p w14:paraId="4C6D8757" w14:textId="77777777" w:rsidR="006B24EB" w:rsidRDefault="006B24EB">
            <w:pPr>
              <w:rPr>
                <w:rFonts w:ascii="Calibri" w:hAnsi="Calibri"/>
                <w:b/>
                <w:bCs/>
                <w:color w:val="FF0000"/>
                <w:lang w:val="en-US"/>
              </w:rPr>
            </w:pPr>
            <w:r>
              <w:rPr>
                <w:rFonts w:ascii="Calibri" w:hAnsi="Calibri"/>
                <w:b/>
                <w:bCs/>
                <w:color w:val="FF0000"/>
                <w:lang w:val="en-US"/>
              </w:rPr>
              <w:t>FL reply:</w:t>
            </w:r>
          </w:p>
          <w:p w14:paraId="20EDFC4F" w14:textId="77777777" w:rsidR="006B24EB" w:rsidRDefault="006B24EB">
            <w:pPr>
              <w:rPr>
                <w:rFonts w:ascii="Calibri" w:hAnsi="Calibri"/>
                <w:lang w:val="en-US"/>
              </w:rPr>
            </w:pPr>
            <w:r>
              <w:rPr>
                <w:rFonts w:ascii="Calibri" w:hAnsi="Calibri"/>
                <w:color w:val="FF0000"/>
                <w:lang w:val="en-US"/>
              </w:rPr>
              <w:t>I am fine with having a clarification. Let’s see if companies are fine with the spirit of the proposal and in the next step we can refine the wording. In any case, I think we will have to agree on these details to provide a working TP.</w:t>
            </w:r>
          </w:p>
          <w:p w14:paraId="64F52529" w14:textId="77777777" w:rsidR="006B24EB" w:rsidRDefault="006B24EB">
            <w:pPr>
              <w:rPr>
                <w:rFonts w:ascii="Calibri" w:hAnsi="Calibri"/>
                <w:color w:val="0000FF"/>
                <w:lang w:val="en-US"/>
              </w:rPr>
            </w:pPr>
            <w:r>
              <w:rPr>
                <w:rFonts w:ascii="Calibri" w:hAnsi="Calibri"/>
                <w:color w:val="0000FF"/>
                <w:lang w:val="en-US"/>
              </w:rPr>
              <w:t>[Shohei (DCM)] We are not sure whether the details are discussed in the next step... In our understanding, TP is made based on agreements on current step. Current proposal needs further clarification as you know, then detailed agreement should be made here... But TP can be made with further clarification in the next step, we are fine with the procedure.</w:t>
            </w:r>
          </w:p>
          <w:p w14:paraId="2B9F7428" w14:textId="77777777" w:rsidR="006B24EB" w:rsidRDefault="006B24EB">
            <w:pPr>
              <w:rPr>
                <w:rFonts w:ascii="Calibri" w:hAnsi="Calibri"/>
                <w:color w:val="7030A0"/>
                <w:lang w:val="en-US"/>
              </w:rPr>
            </w:pPr>
          </w:p>
          <w:p w14:paraId="1F37E957" w14:textId="77777777" w:rsidR="006B24EB" w:rsidRDefault="006B24EB">
            <w:pPr>
              <w:rPr>
                <w:rFonts w:ascii="Calibri" w:hAnsi="Calibri"/>
                <w:b/>
                <w:bCs/>
                <w:color w:val="FF0000"/>
                <w:lang w:val="en-US"/>
              </w:rPr>
            </w:pPr>
            <w:r>
              <w:rPr>
                <w:rFonts w:ascii="Calibri" w:hAnsi="Calibri"/>
                <w:b/>
                <w:bCs/>
                <w:color w:val="FF0000"/>
                <w:lang w:val="en-US"/>
              </w:rPr>
              <w:t>FL reply:</w:t>
            </w:r>
          </w:p>
          <w:p w14:paraId="3EFF7B08" w14:textId="77777777" w:rsidR="006B24EB" w:rsidRDefault="006B24EB">
            <w:pPr>
              <w:rPr>
                <w:rFonts w:ascii="Calibri" w:hAnsi="Calibri"/>
                <w:sz w:val="24"/>
                <w:szCs w:val="24"/>
                <w:lang w:val="en-US"/>
              </w:rPr>
            </w:pPr>
          </w:p>
          <w:p w14:paraId="6A1FC63C" w14:textId="77777777" w:rsidR="006B24EB" w:rsidRDefault="006B24EB">
            <w:pPr>
              <w:rPr>
                <w:rFonts w:ascii="Calibri" w:hAnsi="Calibri"/>
                <w:lang w:val="en-US"/>
              </w:rPr>
            </w:pPr>
            <w:r>
              <w:rPr>
                <w:rFonts w:ascii="Calibri" w:hAnsi="Calibri"/>
                <w:color w:val="FF0000"/>
                <w:lang w:val="en-US"/>
              </w:rPr>
              <w:t>I think it is hard to come up with a functional TP without this. Anyhow, given that this has not been very controversial, I will add “i.e., assuming that the SL and the Uu timing are the same”. Will this be enough?</w:t>
            </w:r>
          </w:p>
        </w:tc>
      </w:tr>
      <w:tr w:rsidR="006B24EB" w14:paraId="11655925" w14:textId="77777777" w:rsidTr="006B24EB">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DE188" w14:textId="77777777" w:rsidR="006B24EB" w:rsidRDefault="006B24EB">
            <w:pPr>
              <w:rPr>
                <w:rFonts w:ascii="Calibri" w:hAnsi="Calibri"/>
                <w:lang w:val="x-none"/>
              </w:rPr>
            </w:pPr>
            <w:r>
              <w:rPr>
                <w:rFonts w:ascii="Calibri" w:hAnsi="Calibri"/>
                <w:lang w:val="x-none"/>
              </w:rPr>
              <w:t>LGE</w:t>
            </w:r>
          </w:p>
        </w:tc>
        <w:tc>
          <w:tcPr>
            <w:tcW w:w="18994" w:type="dxa"/>
            <w:tcBorders>
              <w:top w:val="nil"/>
              <w:left w:val="nil"/>
              <w:bottom w:val="single" w:sz="8" w:space="0" w:color="auto"/>
              <w:right w:val="single" w:sz="8" w:space="0" w:color="auto"/>
            </w:tcBorders>
            <w:tcMar>
              <w:top w:w="0" w:type="dxa"/>
              <w:left w:w="108" w:type="dxa"/>
              <w:bottom w:w="0" w:type="dxa"/>
              <w:right w:w="108" w:type="dxa"/>
            </w:tcMar>
          </w:tcPr>
          <w:p w14:paraId="33A1FAB8" w14:textId="77777777" w:rsidR="006B24EB" w:rsidRDefault="006B24EB">
            <w:pPr>
              <w:rPr>
                <w:rFonts w:ascii="Calibri" w:hAnsi="Calibri"/>
                <w:lang w:val="x-none"/>
              </w:rPr>
            </w:pPr>
            <w:r>
              <w:rPr>
                <w:rFonts w:ascii="Calibri" w:hAnsi="Calibri"/>
                <w:lang w:val="x-none"/>
              </w:rPr>
              <w:t>The proposal is supported with further clarification:</w:t>
            </w:r>
          </w:p>
          <w:p w14:paraId="681C364A" w14:textId="77777777" w:rsidR="006B24EB" w:rsidRDefault="006B24EB" w:rsidP="006B24EB">
            <w:pPr>
              <w:numPr>
                <w:ilvl w:val="0"/>
                <w:numId w:val="18"/>
              </w:numPr>
              <w:spacing w:after="0" w:line="252" w:lineRule="auto"/>
              <w:rPr>
                <w:rFonts w:ascii="Calibri" w:hAnsi="Calibri"/>
                <w:lang w:val="en-US"/>
              </w:rPr>
            </w:pPr>
            <w:r>
              <w:rPr>
                <w:rFonts w:ascii="Calibri" w:hAnsi="Calibri"/>
                <w:lang w:val="en-US"/>
              </w:rPr>
              <w:t>The working assumption from RAN1#99 is confirmed.</w:t>
            </w:r>
          </w:p>
          <w:p w14:paraId="1D5B9FBC" w14:textId="77777777" w:rsidR="006B24EB" w:rsidRDefault="006B24EB" w:rsidP="006B24EB">
            <w:pPr>
              <w:numPr>
                <w:ilvl w:val="0"/>
                <w:numId w:val="18"/>
              </w:numPr>
              <w:spacing w:after="0" w:line="252" w:lineRule="auto"/>
              <w:rPr>
                <w:rFonts w:ascii="Calibri" w:hAnsi="Calibri"/>
                <w:lang w:val="en-US"/>
              </w:rPr>
            </w:pPr>
            <w:r>
              <w:rPr>
                <w:rFonts w:ascii="Calibri" w:hAnsi="Calibri"/>
                <w:highlight w:val="yellow"/>
                <w:lang w:val="en-US"/>
              </w:rPr>
              <w:t xml:space="preserve">PUCCH timing for SL HARQ-ACK to the gNB is determined by PSFCH-to-PUCCH offset </w:t>
            </w:r>
            <w:r>
              <w:rPr>
                <w:rFonts w:ascii="Calibri" w:hAnsi="Calibri"/>
                <w:i/>
                <w:iCs/>
                <w:highlight w:val="yellow"/>
                <w:lang w:val="en-US"/>
              </w:rPr>
              <w:t>assuming</w:t>
            </w:r>
            <w:r>
              <w:rPr>
                <w:rFonts w:ascii="Calibri" w:hAnsi="Calibri"/>
                <w:highlight w:val="yellow"/>
                <w:lang w:val="en-US"/>
              </w:rPr>
              <w:t xml:space="preserve"> that TX UE is </w:t>
            </w:r>
            <w:r>
              <w:rPr>
                <w:rFonts w:ascii="Calibri" w:hAnsi="Calibri"/>
                <w:i/>
                <w:iCs/>
                <w:highlight w:val="yellow"/>
                <w:lang w:val="en-US"/>
              </w:rPr>
              <w:t>synchronized</w:t>
            </w:r>
            <w:r>
              <w:rPr>
                <w:rFonts w:ascii="Calibri" w:hAnsi="Calibri"/>
                <w:highlight w:val="yellow"/>
                <w:lang w:val="en-US"/>
              </w:rPr>
              <w:t xml:space="preserve"> to the serving cell timing</w:t>
            </w:r>
            <w:r>
              <w:rPr>
                <w:rFonts w:ascii="Calibri" w:hAnsi="Calibri"/>
                <w:lang w:val="en-US"/>
              </w:rPr>
              <w:t>.</w:t>
            </w:r>
          </w:p>
          <w:p w14:paraId="5F0BA385" w14:textId="77777777" w:rsidR="006B24EB" w:rsidRDefault="006B24EB">
            <w:pPr>
              <w:rPr>
                <w:rFonts w:ascii="Calibri" w:hAnsi="Calibri"/>
                <w:lang w:val="en-US"/>
              </w:rPr>
            </w:pPr>
            <w:r>
              <w:rPr>
                <w:rFonts w:ascii="Calibri" w:hAnsi="Calibri"/>
                <w:lang w:val="en-US"/>
              </w:rPr>
              <w:t>With this clarification, for both synchronized and asynchronized UE, UL slot of K=0 corresponds to the UL slot, which is the last UL slot that overlaps with the SL slot carrying PSFCH. That is, no timing ambiguity exists between the synchronized and asynchronized UEs. The PUCCH is then time-advanced before transmission to gNB.</w:t>
            </w:r>
          </w:p>
          <w:p w14:paraId="5C8D164F" w14:textId="77777777" w:rsidR="006B24EB" w:rsidRDefault="006B24EB">
            <w:pPr>
              <w:rPr>
                <w:rFonts w:ascii="Calibri" w:hAnsi="Calibri"/>
                <w:lang w:val="en-US"/>
              </w:rPr>
            </w:pPr>
          </w:p>
          <w:p w14:paraId="2B9DAB3E" w14:textId="77777777" w:rsidR="006B24EB" w:rsidRDefault="006B24EB">
            <w:pPr>
              <w:rPr>
                <w:rFonts w:ascii="Calibri" w:hAnsi="Calibri"/>
                <w:lang w:val="en-US"/>
              </w:rPr>
            </w:pPr>
            <w:r>
              <w:rPr>
                <w:rFonts w:ascii="Calibri" w:hAnsi="Calibri"/>
                <w:lang w:val="en-US"/>
              </w:rPr>
              <w:t>@ NTT DOCOMO</w:t>
            </w:r>
          </w:p>
          <w:p w14:paraId="5ABF3B7E" w14:textId="77777777" w:rsidR="006B24EB" w:rsidRDefault="006B24EB">
            <w:pPr>
              <w:rPr>
                <w:rFonts w:ascii="Calibri" w:hAnsi="Calibri"/>
                <w:lang w:val="en-US"/>
              </w:rPr>
            </w:pPr>
            <w:r>
              <w:rPr>
                <w:rFonts w:ascii="Calibri" w:hAnsi="Calibri"/>
                <w:lang w:val="en-US"/>
              </w:rPr>
              <w:t>I think there is some misunderstanding of our proposal as the timings were drawn from the UE perspective before TA is applied. Let me clarify more with the updated drawing below. From UE perspective, SL timing is synced to the DL timing, and UL timing before TA is same as DL timing. We also assume that the SL timing error is smaller than one SL slot duration, as shown in the figure.</w:t>
            </w:r>
          </w:p>
          <w:p w14:paraId="755A4609" w14:textId="77777777" w:rsidR="006B24EB" w:rsidRDefault="006B24EB">
            <w:pPr>
              <w:rPr>
                <w:rFonts w:ascii="Calibri" w:hAnsi="Calibri"/>
                <w:lang w:val="en-US"/>
              </w:rPr>
            </w:pPr>
            <w:r>
              <w:rPr>
                <w:rFonts w:ascii="Calibri" w:hAnsi="Calibri"/>
                <w:color w:val="0000FF"/>
                <w:lang w:val="en-US"/>
              </w:rPr>
              <w:t>[Shohei (DCM)] Thank you for further clarification. Our assumption seems aligned with your assumption, is it correct understanding? Anyway, FL assumes details are discussed in the next step..</w:t>
            </w:r>
          </w:p>
          <w:p w14:paraId="233DAB60" w14:textId="77777777" w:rsidR="006B24EB" w:rsidRDefault="006B24EB">
            <w:pPr>
              <w:rPr>
                <w:rFonts w:ascii="Calibri" w:hAnsi="Calibri"/>
                <w:lang w:val="en-US"/>
              </w:rPr>
            </w:pPr>
          </w:p>
          <w:p w14:paraId="0FE44F21" w14:textId="3A11FCA2" w:rsidR="006B24EB" w:rsidRDefault="006B24EB">
            <w:pPr>
              <w:rPr>
                <w:rFonts w:ascii="Calibri" w:hAnsi="Calibri"/>
                <w:lang w:val="x-none"/>
              </w:rPr>
            </w:pPr>
            <w:r>
              <w:rPr>
                <w:rFonts w:ascii="Calibri" w:hAnsi="Calibri"/>
                <w:noProof/>
                <w:lang w:val="en-US"/>
              </w:rPr>
              <w:drawing>
                <wp:inline distT="0" distB="0" distL="0" distR="0" wp14:anchorId="5D5D8FE1" wp14:editId="7D517C14">
                  <wp:extent cx="6120765" cy="35286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20765" cy="3528695"/>
                          </a:xfrm>
                          <a:prstGeom prst="rect">
                            <a:avLst/>
                          </a:prstGeom>
                          <a:noFill/>
                          <a:ln>
                            <a:noFill/>
                          </a:ln>
                        </pic:spPr>
                      </pic:pic>
                    </a:graphicData>
                  </a:graphic>
                </wp:inline>
              </w:drawing>
            </w:r>
          </w:p>
          <w:p w14:paraId="44BC62E1" w14:textId="77777777" w:rsidR="006B24EB" w:rsidRDefault="006B24EB">
            <w:pPr>
              <w:rPr>
                <w:rFonts w:ascii="Calibri" w:hAnsi="Calibri"/>
                <w:lang w:val="x-none"/>
              </w:rPr>
            </w:pPr>
          </w:p>
          <w:p w14:paraId="0A2A2CEE" w14:textId="77777777" w:rsidR="006B24EB" w:rsidRDefault="006B24EB">
            <w:pPr>
              <w:rPr>
                <w:rFonts w:ascii="Calibri" w:hAnsi="Calibri"/>
                <w:b/>
                <w:bCs/>
                <w:color w:val="FF0000"/>
                <w:lang w:val="en-US"/>
              </w:rPr>
            </w:pPr>
            <w:r>
              <w:rPr>
                <w:rFonts w:ascii="Calibri" w:hAnsi="Calibri"/>
                <w:b/>
                <w:bCs/>
                <w:color w:val="FF0000"/>
                <w:lang w:val="en-US"/>
              </w:rPr>
              <w:t>FL reply:</w:t>
            </w:r>
          </w:p>
          <w:p w14:paraId="0F0A5C1D" w14:textId="77777777" w:rsidR="006B24EB" w:rsidRDefault="006B24EB">
            <w:pPr>
              <w:rPr>
                <w:rFonts w:ascii="Calibri" w:hAnsi="Calibri"/>
                <w:lang w:val="x-none"/>
              </w:rPr>
            </w:pPr>
          </w:p>
          <w:p w14:paraId="1B7C7A1D" w14:textId="77777777" w:rsidR="006B24EB" w:rsidRDefault="006B24EB">
            <w:pPr>
              <w:rPr>
                <w:rFonts w:ascii="Calibri" w:hAnsi="Calibri"/>
                <w:lang w:val="en-US"/>
              </w:rPr>
            </w:pPr>
            <w:r>
              <w:rPr>
                <w:rFonts w:ascii="Calibri" w:hAnsi="Calibri"/>
                <w:color w:val="FF0000"/>
                <w:lang w:val="en-US"/>
              </w:rPr>
              <w:t>I don’t think the clarification is need given that the proposal states that “</w:t>
            </w:r>
            <w:r>
              <w:rPr>
                <w:rFonts w:ascii="Calibri" w:hAnsi="Calibri"/>
                <w:color w:val="FF0000"/>
                <w:lang w:val="x-none"/>
              </w:rPr>
              <w:t>To derive the time of SL HARQ-ACK to the gNB the timing of Uu is used.</w:t>
            </w:r>
            <w:r>
              <w:rPr>
                <w:rFonts w:ascii="Calibri" w:hAnsi="Calibri"/>
                <w:color w:val="FF0000"/>
                <w:lang w:val="en-US"/>
              </w:rPr>
              <w:t>”. If the timing of the Uu carrier is assumed, there is no need to make any assumptions. I think this is clearer.</w:t>
            </w:r>
          </w:p>
        </w:tc>
      </w:tr>
      <w:tr w:rsidR="006B24EB" w14:paraId="65F997B3" w14:textId="77777777" w:rsidTr="006B24EB">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9932A" w14:textId="77777777" w:rsidR="006B24EB" w:rsidRDefault="006B24EB">
            <w:pPr>
              <w:rPr>
                <w:rFonts w:ascii="Calibri" w:hAnsi="Calibri"/>
                <w:lang w:val="x-none"/>
              </w:rPr>
            </w:pPr>
            <w:r>
              <w:rPr>
                <w:rFonts w:ascii="Calibri" w:hAnsi="Calibri"/>
                <w:lang w:val="x-none"/>
              </w:rPr>
              <w:t>vivo</w:t>
            </w:r>
          </w:p>
        </w:tc>
        <w:tc>
          <w:tcPr>
            <w:tcW w:w="18994" w:type="dxa"/>
            <w:tcBorders>
              <w:top w:val="nil"/>
              <w:left w:val="nil"/>
              <w:bottom w:val="single" w:sz="8" w:space="0" w:color="auto"/>
              <w:right w:val="single" w:sz="8" w:space="0" w:color="auto"/>
            </w:tcBorders>
            <w:tcMar>
              <w:top w:w="0" w:type="dxa"/>
              <w:left w:w="108" w:type="dxa"/>
              <w:bottom w:w="0" w:type="dxa"/>
              <w:right w:w="108" w:type="dxa"/>
            </w:tcMar>
          </w:tcPr>
          <w:p w14:paraId="082FB157" w14:textId="77777777" w:rsidR="006B24EB" w:rsidRDefault="006B24EB">
            <w:pPr>
              <w:rPr>
                <w:rFonts w:ascii="Calibri" w:hAnsi="Calibri"/>
                <w:color w:val="7030A0"/>
                <w:lang w:val="en-US"/>
              </w:rPr>
            </w:pPr>
            <w:r>
              <w:rPr>
                <w:rFonts w:ascii="Calibri" w:hAnsi="Calibri"/>
                <w:color w:val="7030A0"/>
                <w:lang w:val="en-US"/>
              </w:rPr>
              <w:t>For clarification, we have some questions on the propsal</w:t>
            </w:r>
          </w:p>
          <w:p w14:paraId="28B30C7B" w14:textId="77777777" w:rsidR="006B24EB" w:rsidRDefault="006B24EB" w:rsidP="006B24EB">
            <w:pPr>
              <w:pStyle w:val="ListParagraph"/>
              <w:numPr>
                <w:ilvl w:val="0"/>
                <w:numId w:val="27"/>
              </w:numPr>
              <w:spacing w:line="252" w:lineRule="auto"/>
              <w:rPr>
                <w:u w:val="single"/>
                <w:lang w:val="en-US"/>
              </w:rPr>
            </w:pPr>
            <w:r>
              <w:rPr>
                <w:color w:val="7030A0"/>
                <w:u w:val="single"/>
                <w:lang w:val="en-US"/>
              </w:rPr>
              <w:t>Regarding the proposal:</w:t>
            </w:r>
            <w:r>
              <w:rPr>
                <w:u w:val="single"/>
                <w:lang w:val="en-US"/>
              </w:rPr>
              <w:t xml:space="preserve"> To derive the time of SL HARQ-ACK to the gNB the timing of Uu is used </w:t>
            </w:r>
            <w:r>
              <w:rPr>
                <w:color w:val="7030A0"/>
                <w:lang w:val="en-US"/>
              </w:rPr>
              <w:t xml:space="preserve">Can you please explain what does ‘To derive the time of SL HARQ-ACK to the gNB the timing of Uu is used’ mean? Does it mean the UE derives the PUCCH location by assuming the DFN0 and SFN0 are fully aligned? </w:t>
            </w:r>
          </w:p>
          <w:p w14:paraId="77F29529" w14:textId="77777777" w:rsidR="006B24EB" w:rsidRDefault="006B24EB">
            <w:pPr>
              <w:pStyle w:val="ListParagraph"/>
              <w:ind w:left="360"/>
              <w:rPr>
                <w:rFonts w:eastAsiaTheme="minorHAnsi"/>
                <w:color w:val="7030A0"/>
                <w:sz w:val="20"/>
                <w:szCs w:val="20"/>
                <w:lang w:val="en-US"/>
              </w:rPr>
            </w:pPr>
            <w:r>
              <w:rPr>
                <w:color w:val="7030A0"/>
                <w:lang w:val="en-US"/>
              </w:rPr>
              <w:t>This assumption is not applied to SL TX transmission which should be based on SL timing, right?</w:t>
            </w:r>
          </w:p>
          <w:p w14:paraId="305134DD" w14:textId="77777777" w:rsidR="006B24EB" w:rsidRDefault="006B24EB">
            <w:pPr>
              <w:pStyle w:val="ListParagraph"/>
              <w:spacing w:after="0" w:line="240" w:lineRule="auto"/>
              <w:ind w:left="0"/>
              <w:rPr>
                <w:rFonts w:eastAsia="Times New Roman"/>
                <w:color w:val="0000FF"/>
                <w:lang w:val="en-US"/>
              </w:rPr>
            </w:pPr>
            <w:r>
              <w:rPr>
                <w:color w:val="0000FF"/>
                <w:lang w:val="en-US"/>
              </w:rPr>
              <w:t>[Shohei (DCM)] We assumed that UE derives the PUCCH location by assuming that just slot boundary is aligned between Uu carrier and SL carrier. However, in NR-SL, PSFCH occasion is dependent on periodPSFCHresource. If periodPSFCHresource = 2 or 4, PSFCH timing ambiguity is occurred at UE... The following illustration explains the case. Exactly, DFN/SFN and slot number need to be considered. Regarding the 2</w:t>
            </w:r>
            <w:r>
              <w:rPr>
                <w:color w:val="0000FF"/>
                <w:vertAlign w:val="superscript"/>
                <w:lang w:val="en-US"/>
              </w:rPr>
              <w:t>nd</w:t>
            </w:r>
            <w:r>
              <w:rPr>
                <w:color w:val="0000FF"/>
                <w:lang w:val="en-US"/>
              </w:rPr>
              <w:t xml:space="preserve"> question, based on the illustration, more than one slot offset seems possible. Currently we do not have how to address this aspect. Let me think further..</w:t>
            </w:r>
          </w:p>
          <w:p w14:paraId="3665DC93" w14:textId="1EAA0146" w:rsidR="006B24EB" w:rsidRDefault="006B24EB">
            <w:pPr>
              <w:pStyle w:val="ListParagraph"/>
              <w:ind w:left="360"/>
              <w:rPr>
                <w:u w:val="single"/>
                <w:lang w:val="en-US"/>
              </w:rPr>
            </w:pPr>
            <w:r>
              <w:rPr>
                <w:noProof/>
                <w:lang w:val="en-US"/>
              </w:rPr>
              <w:drawing>
                <wp:inline distT="0" distB="0" distL="0" distR="0" wp14:anchorId="69659A01" wp14:editId="06D1189D">
                  <wp:extent cx="4457700" cy="1162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457700" cy="1162050"/>
                          </a:xfrm>
                          <a:prstGeom prst="rect">
                            <a:avLst/>
                          </a:prstGeom>
                          <a:noFill/>
                          <a:ln>
                            <a:noFill/>
                          </a:ln>
                        </pic:spPr>
                      </pic:pic>
                    </a:graphicData>
                  </a:graphic>
                </wp:inline>
              </w:drawing>
            </w:r>
          </w:p>
          <w:p w14:paraId="7CCBC884" w14:textId="77777777" w:rsidR="006B24EB" w:rsidRDefault="006B24EB" w:rsidP="006B24EB">
            <w:pPr>
              <w:pStyle w:val="ListParagraph"/>
              <w:numPr>
                <w:ilvl w:val="0"/>
                <w:numId w:val="27"/>
              </w:numPr>
              <w:spacing w:line="252" w:lineRule="auto"/>
              <w:rPr>
                <w:color w:val="7030A0"/>
                <w:u w:val="single"/>
                <w:lang w:val="en-US"/>
              </w:rPr>
            </w:pPr>
            <w:r>
              <w:rPr>
                <w:color w:val="7030A0"/>
                <w:u w:val="single"/>
                <w:lang w:val="en-US"/>
              </w:rPr>
              <w:t>Can the time offset between SL timing and Uu timing (i.e., the time offset between DFN#0 and SFN#0) be larger than 1 slot?</w:t>
            </w:r>
          </w:p>
          <w:p w14:paraId="30D87D58" w14:textId="77777777" w:rsidR="006B24EB" w:rsidRDefault="006B24EB">
            <w:pPr>
              <w:rPr>
                <w:rFonts w:ascii="Calibri" w:hAnsi="Calibri"/>
                <w:color w:val="7030A0"/>
                <w:lang w:val="en-US"/>
              </w:rPr>
            </w:pPr>
            <w:r>
              <w:rPr>
                <w:rFonts w:ascii="Calibri" w:hAnsi="Calibri"/>
                <w:color w:val="7030A0"/>
                <w:lang w:val="en-US"/>
              </w:rPr>
              <w:t>I think the time offset in DOCOMO’s comment refers to the time offset between two neighboring sidelink slot and Uu slot which may have different index. But regarding the time offset between Uu timing and SL timing, e.g., the time offset between DFN0 and SFN0, up to now I don’t think we have made any working assumption or conclusion on how large it could be. It could be much larger than 1 slot and should be taken into account when determining the first transmission slot in our understanding.</w:t>
            </w:r>
          </w:p>
          <w:p w14:paraId="7C4D6983" w14:textId="77777777" w:rsidR="006B24EB" w:rsidRDefault="006B24EB">
            <w:pPr>
              <w:rPr>
                <w:rFonts w:ascii="Calibri" w:hAnsi="Calibri"/>
                <w:color w:val="7030A0"/>
                <w:lang w:val="en-US"/>
              </w:rPr>
            </w:pPr>
            <w:r>
              <w:rPr>
                <w:rFonts w:ascii="Calibri" w:hAnsi="Calibri"/>
                <w:color w:val="7030A0"/>
                <w:lang w:val="en-US"/>
              </w:rPr>
              <w:t xml:space="preserve">Let’s take the below figure as an example, SCS=60kHz and time offset =2 slots=0.5ms, the fronted two slots are used for DL in Uu, the other 8 slots are UL slots. The resource pool configuration indicates that the first half of the UL slots are reused for SL purpose. The DL slot are marked as X because we agreed that only cell-specific U can be reused for SL purpose. </w:t>
            </w:r>
          </w:p>
          <w:p w14:paraId="40D5D0E8" w14:textId="77777777" w:rsidR="006B24EB" w:rsidRDefault="006B24EB">
            <w:pPr>
              <w:rPr>
                <w:rFonts w:ascii="Calibri" w:hAnsi="Calibri"/>
                <w:color w:val="7030A0"/>
                <w:lang w:val="en-US"/>
              </w:rPr>
            </w:pPr>
            <w:r>
              <w:rPr>
                <w:rFonts w:ascii="Calibri" w:hAnsi="Calibri"/>
                <w:color w:val="7030A0"/>
                <w:lang w:val="en-US"/>
              </w:rPr>
              <w:t>A SL DCI scheduling two SL transmission is received within the second DL slot, indicating time gap=1, PSFCH-HARQ= 2 slots.</w:t>
            </w:r>
          </w:p>
          <w:p w14:paraId="65BC3A1B" w14:textId="77777777" w:rsidR="006B24EB" w:rsidRDefault="006B24EB">
            <w:pPr>
              <w:rPr>
                <w:rFonts w:ascii="Calibri" w:hAnsi="Calibri"/>
                <w:color w:val="7030A0"/>
                <w:lang w:val="en-US"/>
              </w:rPr>
            </w:pPr>
            <w:r>
              <w:rPr>
                <w:rFonts w:ascii="Calibri" w:hAnsi="Calibri"/>
                <w:color w:val="7030A0"/>
                <w:lang w:val="en-US"/>
              </w:rPr>
              <w:t>TX UE with async SL timing starts SL transmission within the first sidelink slot which corresponds to the first yellow block while TX UE with synced SL timing starts within the first block in orange. The two slots before the yellow blocks in the async case cannot be used for SL because they corresponds to ‘X’. If the Uu timing is used to derive PUCCH, TX UE in sync case and async case will transmit PUCCH in the blue block. It can be noted that the location of the forth SL slot in the async case conflicts with the PUCCH.</w:t>
            </w:r>
            <w:r>
              <w:rPr>
                <w:rFonts w:ascii="Calibri" w:hAnsi="Calibri"/>
                <w:lang w:val="en-US"/>
              </w:rPr>
              <w:t xml:space="preserve"> </w:t>
            </w:r>
            <w:r>
              <w:rPr>
                <w:rFonts w:ascii="Calibri" w:hAnsi="Calibri"/>
                <w:color w:val="FF0000"/>
                <w:lang w:val="en-US"/>
              </w:rPr>
              <w:t>If the SL timing is used to derive PUCCH, UE with async SL timing will transmit PUCCH in the purple block.</w:t>
            </w:r>
          </w:p>
          <w:p w14:paraId="010E183F" w14:textId="77777777" w:rsidR="006B24EB" w:rsidRDefault="006B24EB">
            <w:pPr>
              <w:rPr>
                <w:rFonts w:ascii="Calibri" w:hAnsi="Calibri"/>
                <w:color w:val="7030A0"/>
                <w:lang w:val="en-US"/>
              </w:rPr>
            </w:pPr>
            <w:r>
              <w:rPr>
                <w:rFonts w:ascii="Calibri" w:hAnsi="Calibri"/>
                <w:color w:val="7030A0"/>
                <w:lang w:val="en-US"/>
              </w:rPr>
              <w:t>Such collision can be avoided if we introduce some restrictions on the time offset, e.g., time offset between DFN0 and SFN0 is always no larger than 1 slot in mode-1, however, as we support 120kHz, the</w:t>
            </w:r>
            <w:r>
              <w:rPr>
                <w:rFonts w:ascii="Calibri" w:hAnsi="Calibri"/>
                <w:color w:val="FF0000"/>
                <w:lang w:val="en-US"/>
              </w:rPr>
              <w:t xml:space="preserve"> slot length </w:t>
            </w:r>
            <w:r>
              <w:rPr>
                <w:rFonts w:ascii="Calibri" w:hAnsi="Calibri"/>
                <w:color w:val="7030A0"/>
                <w:lang w:val="en-US"/>
              </w:rPr>
              <w:t>of 120kHz</w:t>
            </w:r>
            <w:r>
              <w:rPr>
                <w:rFonts w:ascii="Calibri" w:hAnsi="Calibri"/>
                <w:color w:val="FF0000"/>
                <w:lang w:val="en-US"/>
              </w:rPr>
              <w:t xml:space="preserve"> is </w:t>
            </w:r>
            <w:r>
              <w:rPr>
                <w:rFonts w:ascii="Calibri" w:hAnsi="Calibri"/>
                <w:color w:val="7030A0"/>
                <w:lang w:val="en-US"/>
              </w:rPr>
              <w:t xml:space="preserve">1/8 of that of 15kHz. </w:t>
            </w:r>
            <w:r>
              <w:rPr>
                <w:rFonts w:ascii="Calibri" w:hAnsi="Calibri"/>
                <w:color w:val="FF0000"/>
                <w:lang w:val="en-US"/>
              </w:rPr>
              <w:t>T</w:t>
            </w:r>
            <w:r>
              <w:rPr>
                <w:rFonts w:ascii="Calibri" w:hAnsi="Calibri"/>
                <w:color w:val="7030A0"/>
                <w:lang w:val="en-US"/>
              </w:rPr>
              <w:t>his restriction</w:t>
            </w:r>
            <w:r>
              <w:rPr>
                <w:rFonts w:ascii="Calibri" w:hAnsi="Calibri"/>
                <w:lang w:val="en-US"/>
              </w:rPr>
              <w:t xml:space="preserve"> </w:t>
            </w:r>
            <w:r>
              <w:rPr>
                <w:rFonts w:ascii="Calibri" w:hAnsi="Calibri"/>
                <w:color w:val="FF0000"/>
                <w:lang w:val="en-US"/>
              </w:rPr>
              <w:t xml:space="preserve">seems more strict than LTE V2X, is this </w:t>
            </w:r>
            <w:r>
              <w:rPr>
                <w:rFonts w:ascii="Calibri" w:hAnsi="Calibri"/>
                <w:color w:val="7030A0"/>
                <w:lang w:val="en-US"/>
              </w:rPr>
              <w:t>acceptable</w:t>
            </w:r>
            <w:r>
              <w:rPr>
                <w:rFonts w:ascii="Calibri" w:hAnsi="Calibri"/>
                <w:color w:val="FF0000"/>
                <w:lang w:val="en-US"/>
              </w:rPr>
              <w:t>?</w:t>
            </w:r>
          </w:p>
          <w:p w14:paraId="14C4D4B9" w14:textId="77777777" w:rsidR="006B24EB" w:rsidRDefault="006B24EB">
            <w:pPr>
              <w:rPr>
                <w:rFonts w:ascii="Calibri" w:hAnsi="Calibri"/>
                <w:color w:val="7030A0"/>
                <w:lang w:val="en-US"/>
              </w:rPr>
            </w:pPr>
            <w:r>
              <w:rPr>
                <w:rFonts w:ascii="Calibri" w:hAnsi="Calibri"/>
                <w:color w:val="7030A0"/>
                <w:lang w:val="en-US"/>
              </w:rPr>
              <w:t>Without such restriction I am afraid there is a risk that PUCCH based on Uu time and actual SL TX collide.</w:t>
            </w:r>
            <w:r>
              <w:rPr>
                <w:rFonts w:ascii="Calibri" w:hAnsi="Calibri"/>
                <w:lang w:val="en-US"/>
              </w:rPr>
              <w:t xml:space="preserve"> </w:t>
            </w:r>
          </w:p>
          <w:p w14:paraId="5E217AA6" w14:textId="4841D82C" w:rsidR="006B24EB" w:rsidRDefault="006B24EB">
            <w:pPr>
              <w:rPr>
                <w:rFonts w:ascii="Calibri" w:hAnsi="Calibri"/>
                <w:lang w:val="en-US"/>
              </w:rPr>
            </w:pPr>
            <w:r>
              <w:rPr>
                <w:rFonts w:ascii="Calibri" w:hAnsi="Calibri"/>
                <w:noProof/>
                <w:color w:val="7030A0"/>
                <w:lang w:val="en-US"/>
              </w:rPr>
              <w:drawing>
                <wp:inline distT="0" distB="0" distL="0" distR="0" wp14:anchorId="79D20E72" wp14:editId="63D6F354">
                  <wp:extent cx="6120765" cy="22415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0765" cy="2241550"/>
                          </a:xfrm>
                          <a:prstGeom prst="rect">
                            <a:avLst/>
                          </a:prstGeom>
                          <a:noFill/>
                          <a:ln>
                            <a:noFill/>
                          </a:ln>
                        </pic:spPr>
                      </pic:pic>
                    </a:graphicData>
                  </a:graphic>
                </wp:inline>
              </w:drawing>
            </w:r>
          </w:p>
          <w:p w14:paraId="456B158C" w14:textId="77777777" w:rsidR="006B24EB" w:rsidRDefault="006B24EB">
            <w:pPr>
              <w:rPr>
                <w:rFonts w:ascii="Calibri" w:hAnsi="Calibri"/>
                <w:b/>
                <w:bCs/>
                <w:color w:val="FF0000"/>
                <w:lang w:val="en-US"/>
              </w:rPr>
            </w:pPr>
            <w:r>
              <w:rPr>
                <w:rFonts w:ascii="Calibri" w:hAnsi="Calibri"/>
                <w:b/>
                <w:bCs/>
                <w:color w:val="FF0000"/>
                <w:lang w:val="en-US"/>
              </w:rPr>
              <w:t>FL reply:</w:t>
            </w:r>
          </w:p>
          <w:p w14:paraId="382678EC" w14:textId="77777777" w:rsidR="006B24EB" w:rsidRDefault="006B24EB">
            <w:pPr>
              <w:rPr>
                <w:rFonts w:ascii="Calibri" w:hAnsi="Calibri"/>
                <w:lang w:val="x-none"/>
              </w:rPr>
            </w:pPr>
          </w:p>
          <w:p w14:paraId="36F9C024" w14:textId="77777777" w:rsidR="006B24EB" w:rsidRDefault="006B24EB">
            <w:pPr>
              <w:rPr>
                <w:rFonts w:ascii="Calibri" w:hAnsi="Calibri"/>
                <w:color w:val="FF0000"/>
                <w:lang w:val="en-US"/>
              </w:rPr>
            </w:pPr>
            <w:r>
              <w:rPr>
                <w:rFonts w:ascii="Calibri" w:hAnsi="Calibri"/>
                <w:color w:val="FF0000"/>
                <w:lang w:val="en-US"/>
              </w:rPr>
              <w:t>For issue 1, see my reply to DOCOMO.</w:t>
            </w:r>
          </w:p>
          <w:p w14:paraId="264CE6B8" w14:textId="77777777" w:rsidR="006B24EB" w:rsidRDefault="006B24EB">
            <w:pPr>
              <w:rPr>
                <w:rFonts w:ascii="Calibri" w:hAnsi="Calibri"/>
                <w:color w:val="FF0000"/>
                <w:lang w:val="en-US"/>
              </w:rPr>
            </w:pPr>
            <w:r>
              <w:rPr>
                <w:rFonts w:ascii="Calibri" w:hAnsi="Calibri"/>
                <w:color w:val="FF0000"/>
                <w:lang w:val="en-US"/>
              </w:rPr>
              <w:t xml:space="preserve">For issue 2, I don’t think we need to introduce any restrictions. If there is a problem, then I don’t see the difference to the usual situation where some features work in some deployments and some features do not. </w:t>
            </w:r>
          </w:p>
          <w:p w14:paraId="6F3BD8D0" w14:textId="77777777" w:rsidR="006B24EB" w:rsidRDefault="006B24EB">
            <w:pPr>
              <w:rPr>
                <w:rFonts w:ascii="Calibri" w:hAnsi="Calibri"/>
                <w:lang w:val="x-none"/>
              </w:rPr>
            </w:pPr>
          </w:p>
        </w:tc>
      </w:tr>
    </w:tbl>
    <w:p w14:paraId="199D2506" w14:textId="77777777" w:rsidR="006B24EB" w:rsidRDefault="006B24EB" w:rsidP="006B24EB">
      <w:pPr>
        <w:spacing w:after="0" w:line="240" w:lineRule="auto"/>
        <w:rPr>
          <w:lang w:val="en-US"/>
        </w:rPr>
      </w:pPr>
      <w:r>
        <w:rPr>
          <w:lang w:val="en-US"/>
        </w:rPr>
        <w:br w:type="page"/>
      </w:r>
    </w:p>
    <w:p w14:paraId="3CA20809" w14:textId="77777777" w:rsidR="006B24EB" w:rsidRDefault="006B24EB" w:rsidP="006B24EB">
      <w:pPr>
        <w:spacing w:after="0" w:line="240" w:lineRule="auto"/>
        <w:rPr>
          <w:lang w:val="en-US"/>
        </w:rPr>
      </w:pPr>
    </w:p>
    <w:p w14:paraId="2F1B053B" w14:textId="77777777" w:rsidR="006B24EB" w:rsidRPr="00AD4738" w:rsidRDefault="006B24EB" w:rsidP="006B24EB">
      <w:pPr>
        <w:pStyle w:val="Heading2"/>
      </w:pPr>
      <w:r>
        <w:t xml:space="preserve">Issue 2 - </w:t>
      </w:r>
      <w:r w:rsidRPr="00AD4738">
        <w:t xml:space="preserve">1.2 General HARQ aspects </w:t>
      </w:r>
      <w:r w:rsidRPr="00AD4738">
        <w:rPr>
          <w:highlight w:val="yellow"/>
        </w:rPr>
        <w:t>[Prioritized]</w:t>
      </w:r>
    </w:p>
    <w:p w14:paraId="55C04D3F" w14:textId="77777777" w:rsidR="006B24EB" w:rsidRDefault="006B24EB" w:rsidP="006B24EB">
      <w:pPr>
        <w:spacing w:after="0" w:line="240" w:lineRule="auto"/>
        <w:ind w:right="300"/>
        <w:rPr>
          <w:lang w:val="en-US"/>
        </w:rPr>
      </w:pPr>
    </w:p>
    <w:p w14:paraId="4D604107" w14:textId="77777777" w:rsidR="006B24EB" w:rsidRDefault="006B24EB" w:rsidP="006B24EB">
      <w:pPr>
        <w:pStyle w:val="Heading3"/>
        <w:rPr>
          <w:rFonts w:ascii="Calibri" w:hAnsi="Calibri" w:cs="Calibri"/>
        </w:rPr>
      </w:pPr>
      <w:r>
        <w:t>Q1: Relationship between HPN and NDI in DCI and HPN and NDI in SCI.</w:t>
      </w:r>
    </w:p>
    <w:tbl>
      <w:tblPr>
        <w:tblW w:w="0" w:type="auto"/>
        <w:tblCellMar>
          <w:left w:w="0" w:type="dxa"/>
          <w:right w:w="0" w:type="dxa"/>
        </w:tblCellMar>
        <w:tblLook w:val="04A0" w:firstRow="1" w:lastRow="0" w:firstColumn="1" w:lastColumn="0" w:noHBand="0" w:noVBand="1"/>
      </w:tblPr>
      <w:tblGrid>
        <w:gridCol w:w="1356"/>
        <w:gridCol w:w="8263"/>
      </w:tblGrid>
      <w:tr w:rsidR="006B24EB" w14:paraId="5B21F8DF" w14:textId="77777777" w:rsidTr="006B24EB">
        <w:tc>
          <w:tcPr>
            <w:tcW w:w="1803"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B8C2253" w14:textId="77777777" w:rsidR="006B24EB" w:rsidRDefault="006B24EB">
            <w:pPr>
              <w:jc w:val="center"/>
              <w:rPr>
                <w:rFonts w:ascii="SimSun" w:eastAsia="SimSun" w:hAnsi="SimSun" w:cs="Calibri"/>
                <w:sz w:val="24"/>
                <w:szCs w:val="24"/>
                <w:lang w:val="en-US" w:eastAsia="fi-FI"/>
              </w:rPr>
            </w:pPr>
            <w:r>
              <w:rPr>
                <w:rFonts w:ascii="Calibri" w:hAnsi="Calibri"/>
                <w:b/>
                <w:bCs/>
                <w:lang w:val="en-US"/>
              </w:rPr>
              <w:t>Company</w:t>
            </w:r>
          </w:p>
        </w:tc>
        <w:tc>
          <w:tcPr>
            <w:tcW w:w="1411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0DB693" w14:textId="77777777" w:rsidR="006B24EB" w:rsidRDefault="006B24EB">
            <w:pPr>
              <w:jc w:val="center"/>
              <w:rPr>
                <w:rFonts w:ascii="SimSun" w:eastAsia="SimSun" w:hAnsi="SimSun" w:hint="eastAsia"/>
                <w:lang w:val="en-US"/>
              </w:rPr>
            </w:pPr>
            <w:r>
              <w:rPr>
                <w:rFonts w:ascii="Calibri" w:hAnsi="Calibri"/>
                <w:b/>
                <w:bCs/>
                <w:color w:val="000000"/>
                <w:lang w:val="en-US"/>
              </w:rPr>
              <w:t>View</w:t>
            </w:r>
          </w:p>
        </w:tc>
      </w:tr>
      <w:tr w:rsidR="006B24EB" w14:paraId="5DA6077C"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56A30" w14:textId="77777777" w:rsidR="006B24EB" w:rsidRDefault="006B24EB">
            <w:pPr>
              <w:rPr>
                <w:rFonts w:ascii="SimSun" w:eastAsia="SimSun" w:hAnsi="SimSun" w:hint="eastAsia"/>
                <w:lang w:val="en-US"/>
              </w:rPr>
            </w:pPr>
            <w:r>
              <w:rPr>
                <w:rFonts w:ascii="Calibri" w:hAnsi="Calibri"/>
                <w:lang w:val="en-US"/>
              </w:rPr>
              <w:t>NTT DOCOMO</w:t>
            </w:r>
          </w:p>
        </w:tc>
        <w:tc>
          <w:tcPr>
            <w:tcW w:w="14119" w:type="dxa"/>
            <w:tcBorders>
              <w:top w:val="nil"/>
              <w:left w:val="nil"/>
              <w:bottom w:val="single" w:sz="8" w:space="0" w:color="auto"/>
              <w:right w:val="single" w:sz="8" w:space="0" w:color="auto"/>
            </w:tcBorders>
            <w:tcMar>
              <w:top w:w="0" w:type="dxa"/>
              <w:left w:w="108" w:type="dxa"/>
              <w:bottom w:w="0" w:type="dxa"/>
              <w:right w:w="108" w:type="dxa"/>
            </w:tcMar>
            <w:hideMark/>
          </w:tcPr>
          <w:p w14:paraId="04D791DA" w14:textId="77777777" w:rsidR="006B24EB" w:rsidRDefault="006B24EB">
            <w:pPr>
              <w:rPr>
                <w:rFonts w:ascii="SimSun" w:eastAsia="SimSun" w:hAnsi="SimSun" w:hint="eastAsia"/>
                <w:lang w:val="en-US"/>
              </w:rPr>
            </w:pPr>
            <w:r>
              <w:rPr>
                <w:rFonts w:ascii="Calibri" w:hAnsi="Calibri"/>
                <w:lang w:val="en-US"/>
              </w:rPr>
              <w:t>We tend to agree the proposal. But can I update one point for the 2</w:t>
            </w:r>
            <w:r>
              <w:rPr>
                <w:rFonts w:ascii="Calibri" w:hAnsi="Calibri"/>
                <w:vertAlign w:val="superscript"/>
                <w:lang w:val="en-US"/>
              </w:rPr>
              <w:t>nd</w:t>
            </w:r>
            <w:r>
              <w:rPr>
                <w:rStyle w:val="apple-converted-space"/>
                <w:rFonts w:ascii="Calibri" w:hAnsi="Calibri"/>
                <w:lang w:val="en-US"/>
              </w:rPr>
              <w:t> </w:t>
            </w:r>
            <w:r>
              <w:rPr>
                <w:rFonts w:ascii="Calibri" w:hAnsi="Calibri"/>
                <w:lang w:val="en-US"/>
              </w:rPr>
              <w:t>bullet? In the 1</w:t>
            </w:r>
            <w:r>
              <w:rPr>
                <w:rFonts w:ascii="Calibri" w:hAnsi="Calibri"/>
                <w:vertAlign w:val="superscript"/>
                <w:lang w:val="en-US"/>
              </w:rPr>
              <w:t>st</w:t>
            </w:r>
            <w:r>
              <w:rPr>
                <w:rStyle w:val="apple-converted-space"/>
                <w:rFonts w:ascii="Calibri" w:hAnsi="Calibri"/>
                <w:lang w:val="en-US"/>
              </w:rPr>
              <w:t> </w:t>
            </w:r>
            <w:r>
              <w:rPr>
                <w:rFonts w:ascii="Calibri" w:hAnsi="Calibri"/>
                <w:lang w:val="en-US"/>
              </w:rPr>
              <w:t>bullet, HPN in SCI for initial transmission is up to TX-UE. Then, the 2</w:t>
            </w:r>
            <w:r>
              <w:rPr>
                <w:rFonts w:ascii="Calibri" w:hAnsi="Calibri"/>
                <w:vertAlign w:val="superscript"/>
                <w:lang w:val="en-US"/>
              </w:rPr>
              <w:t>nd</w:t>
            </w:r>
            <w:r>
              <w:rPr>
                <w:rStyle w:val="apple-converted-space"/>
                <w:rFonts w:ascii="Calibri" w:hAnsi="Calibri"/>
                <w:lang w:val="en-US"/>
              </w:rPr>
              <w:t> </w:t>
            </w:r>
            <w:r>
              <w:rPr>
                <w:rFonts w:ascii="Calibri" w:hAnsi="Calibri"/>
                <w:lang w:val="en-US"/>
              </w:rPr>
              <w:t>bullet should be changed as the following:</w:t>
            </w:r>
          </w:p>
          <w:p w14:paraId="5D030693" w14:textId="77777777" w:rsidR="006B24EB" w:rsidRDefault="006B24EB">
            <w:pPr>
              <w:spacing w:line="252" w:lineRule="atLeast"/>
              <w:ind w:left="825" w:right="300" w:hanging="360"/>
              <w:rPr>
                <w:rFonts w:ascii="SimSun" w:eastAsia="SimSun" w:hAnsi="SimSun" w:hint="eastAsia"/>
                <w:lang w:val="en-US"/>
              </w:rPr>
            </w:pPr>
            <w:r>
              <w:rPr>
                <w:rFonts w:ascii="Symbol" w:hAnsi="Symbol"/>
                <w:lang w:val="en-US"/>
              </w:rPr>
              <w:t></w:t>
            </w:r>
            <w:r>
              <w:rPr>
                <w:rFonts w:ascii="Times New Roman" w:hAnsi="Times New Roman" w:cs="Times New Roman"/>
                <w:sz w:val="14"/>
                <w:szCs w:val="14"/>
                <w:lang w:val="en-US"/>
              </w:rPr>
              <w:t>        </w:t>
            </w:r>
            <w:r>
              <w:rPr>
                <w:rStyle w:val="apple-converted-space"/>
                <w:rFonts w:ascii="Times New Roman" w:hAnsi="Times New Roman" w:cs="Times New Roman"/>
                <w:sz w:val="14"/>
                <w:szCs w:val="14"/>
                <w:lang w:val="en-US"/>
              </w:rPr>
              <w:t> </w:t>
            </w:r>
            <w:r>
              <w:rPr>
                <w:rFonts w:ascii="Calibri" w:hAnsi="Calibri"/>
                <w:lang w:val="en-US"/>
              </w:rPr>
              <w:t>The</w:t>
            </w:r>
            <w:r>
              <w:rPr>
                <w:rStyle w:val="apple-converted-space"/>
                <w:rFonts w:ascii="Calibri" w:hAnsi="Calibri"/>
                <w:lang w:val="en-US"/>
              </w:rPr>
              <w:t> </w:t>
            </w:r>
            <w:r>
              <w:rPr>
                <w:rFonts w:ascii="Calibri" w:hAnsi="Calibri"/>
                <w:strike/>
                <w:color w:val="FF0000"/>
                <w:lang w:val="en-US"/>
              </w:rPr>
              <w:t>value</w:t>
            </w:r>
            <w:r>
              <w:rPr>
                <w:rStyle w:val="apple-converted-space"/>
                <w:rFonts w:ascii="Calibri" w:hAnsi="Calibri"/>
                <w:strike/>
                <w:color w:val="FF0000"/>
                <w:lang w:val="en-US"/>
              </w:rPr>
              <w:t> </w:t>
            </w:r>
            <w:r>
              <w:rPr>
                <w:rFonts w:ascii="Calibri" w:hAnsi="Calibri"/>
                <w:color w:val="FF0000"/>
                <w:lang w:val="en-US"/>
              </w:rPr>
              <w:t>toggling</w:t>
            </w:r>
            <w:r>
              <w:rPr>
                <w:rStyle w:val="apple-converted-space"/>
                <w:rFonts w:ascii="Calibri" w:hAnsi="Calibri"/>
                <w:lang w:val="en-US"/>
              </w:rPr>
              <w:t> </w:t>
            </w:r>
            <w:r>
              <w:rPr>
                <w:rFonts w:ascii="Calibri" w:hAnsi="Calibri"/>
                <w:lang w:val="en-US"/>
              </w:rPr>
              <w:t>of NDI in DCI is used as the</w:t>
            </w:r>
            <w:r>
              <w:rPr>
                <w:rStyle w:val="apple-converted-space"/>
                <w:rFonts w:ascii="Calibri" w:hAnsi="Calibri"/>
                <w:lang w:val="en-US"/>
              </w:rPr>
              <w:t> </w:t>
            </w:r>
            <w:r>
              <w:rPr>
                <w:rFonts w:ascii="Calibri" w:hAnsi="Calibri"/>
                <w:strike/>
                <w:color w:val="FF0000"/>
                <w:lang w:val="en-US"/>
              </w:rPr>
              <w:t>value</w:t>
            </w:r>
            <w:r>
              <w:rPr>
                <w:rStyle w:val="apple-converted-space"/>
                <w:rFonts w:ascii="Calibri" w:hAnsi="Calibri"/>
                <w:lang w:val="en-US"/>
              </w:rPr>
              <w:t> </w:t>
            </w:r>
            <w:r>
              <w:rPr>
                <w:rFonts w:ascii="Calibri" w:hAnsi="Calibri"/>
                <w:color w:val="FF0000"/>
                <w:lang w:val="en-US"/>
              </w:rPr>
              <w:t>toggling</w:t>
            </w:r>
            <w:r>
              <w:rPr>
                <w:rStyle w:val="apple-converted-space"/>
                <w:rFonts w:ascii="Calibri" w:hAnsi="Calibri"/>
                <w:lang w:val="en-US"/>
              </w:rPr>
              <w:t> </w:t>
            </w:r>
            <w:r>
              <w:rPr>
                <w:rFonts w:ascii="Calibri" w:hAnsi="Calibri"/>
                <w:lang w:val="en-US"/>
              </w:rPr>
              <w:t>of NDI in SCI for the first SL transmission scheduled by the DCI. The remaining transmissions scheduled by the DCI, if any, have the NDI untoggled</w:t>
            </w:r>
            <w:r>
              <w:rPr>
                <w:rStyle w:val="apple-converted-space"/>
                <w:rFonts w:ascii="Calibri" w:hAnsi="Calibri"/>
                <w:lang w:val="en-US"/>
              </w:rPr>
              <w:t> </w:t>
            </w:r>
            <w:r>
              <w:rPr>
                <w:rFonts w:ascii="Calibri" w:hAnsi="Calibri"/>
                <w:color w:val="FF0000"/>
                <w:lang w:val="en-US"/>
              </w:rPr>
              <w:t>from the first SL transmission</w:t>
            </w:r>
            <w:r>
              <w:rPr>
                <w:rFonts w:ascii="Calibri" w:hAnsi="Calibri"/>
                <w:lang w:val="en-US"/>
              </w:rPr>
              <w:t>.</w:t>
            </w:r>
          </w:p>
          <w:p w14:paraId="58201FF3" w14:textId="77777777" w:rsidR="006B24EB" w:rsidRDefault="006B24EB">
            <w:pPr>
              <w:rPr>
                <w:rFonts w:ascii="SimSun" w:eastAsia="SimSun" w:hAnsi="SimSun" w:hint="eastAsia"/>
                <w:lang w:val="en-US"/>
              </w:rPr>
            </w:pPr>
            <w:r>
              <w:rPr>
                <w:rFonts w:ascii="Calibri" w:hAnsi="Calibri"/>
                <w:lang w:val="en-US"/>
              </w:rPr>
              <w:t>For example, let us assume the following tables. The left tables are the initial states of DCI/SCI. Then, a DCI with HPN#0 and toggled NDI schedules a SL resource. SCI is transmitted with HPN#0 and toggled NDI. The transmission is successful, and ACK is reported. And then, the next DCI with HPN#4 and toggled NDI schedules a SL resource. SCI is transmitted with HPN#0 and toggled NDI. This is the intention of the 2</w:t>
            </w:r>
            <w:r>
              <w:rPr>
                <w:rFonts w:ascii="Calibri" w:hAnsi="Calibri"/>
                <w:vertAlign w:val="superscript"/>
                <w:lang w:val="en-US"/>
              </w:rPr>
              <w:t>nd</w:t>
            </w:r>
            <w:r>
              <w:rPr>
                <w:rStyle w:val="apple-converted-space"/>
                <w:rFonts w:ascii="Calibri" w:hAnsi="Calibri"/>
                <w:lang w:val="en-US"/>
              </w:rPr>
              <w:t> </w:t>
            </w:r>
            <w:r>
              <w:rPr>
                <w:rFonts w:ascii="Calibri" w:hAnsi="Calibri"/>
                <w:lang w:val="en-US"/>
              </w:rPr>
              <w:t>bullet of the proposal in our understanding. But if NDI ‘VALUE’ is copied, toggling in DCI results in untoggling in SCI in this case. It is not companies’ intention. The following example is about one link, but there are many links and SCI states are so various. Copy seems not reasonable.</w:t>
            </w:r>
          </w:p>
          <w:p w14:paraId="6376925B" w14:textId="412DDE01" w:rsidR="006B24EB" w:rsidRDefault="006B24EB">
            <w:pPr>
              <w:rPr>
                <w:rFonts w:ascii="SimSun" w:eastAsia="SimSun" w:hAnsi="SimSun" w:hint="eastAsia"/>
                <w:lang w:val="en-US"/>
              </w:rPr>
            </w:pPr>
            <w:r>
              <w:rPr>
                <w:rFonts w:ascii="Calibri" w:hAnsi="Calibri"/>
                <w:noProof/>
                <w:lang w:val="en-US"/>
              </w:rPr>
              <w:drawing>
                <wp:inline distT="0" distB="0" distL="0" distR="0" wp14:anchorId="6DFD4418" wp14:editId="59E4FF95">
                  <wp:extent cx="1504950" cy="1485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04950" cy="1485900"/>
                          </a:xfrm>
                          <a:prstGeom prst="rect">
                            <a:avLst/>
                          </a:prstGeom>
                          <a:noFill/>
                          <a:ln>
                            <a:noFill/>
                          </a:ln>
                        </pic:spPr>
                      </pic:pic>
                    </a:graphicData>
                  </a:graphic>
                </wp:inline>
              </w:drawing>
            </w:r>
            <w:r>
              <w:rPr>
                <w:rFonts w:ascii="Calibri" w:hAnsi="Calibri"/>
                <w:lang w:val="en-US"/>
              </w:rPr>
              <w:t>                </w:t>
            </w:r>
            <w:r>
              <w:rPr>
                <w:rStyle w:val="apple-converted-space"/>
                <w:rFonts w:ascii="Calibri" w:hAnsi="Calibri"/>
                <w:lang w:val="en-US"/>
              </w:rPr>
              <w:t> </w:t>
            </w:r>
            <w:r>
              <w:rPr>
                <w:rFonts w:ascii="Calibri" w:hAnsi="Calibri"/>
                <w:noProof/>
                <w:lang w:val="en-US"/>
              </w:rPr>
              <w:drawing>
                <wp:inline distT="0" distB="0" distL="0" distR="0" wp14:anchorId="282A3D90" wp14:editId="290B7CC3">
                  <wp:extent cx="1638300" cy="1581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638300" cy="1581150"/>
                          </a:xfrm>
                          <a:prstGeom prst="rect">
                            <a:avLst/>
                          </a:prstGeom>
                          <a:noFill/>
                          <a:ln>
                            <a:noFill/>
                          </a:ln>
                        </pic:spPr>
                      </pic:pic>
                    </a:graphicData>
                  </a:graphic>
                </wp:inline>
              </w:drawing>
            </w:r>
            <w:r>
              <w:rPr>
                <w:rFonts w:ascii="Calibri" w:hAnsi="Calibri"/>
                <w:lang w:val="en-US"/>
              </w:rPr>
              <w:t>                     </w:t>
            </w:r>
            <w:r>
              <w:rPr>
                <w:rFonts w:ascii="Calibri" w:hAnsi="Calibri"/>
                <w:noProof/>
                <w:lang w:val="en-US"/>
              </w:rPr>
              <mc:AlternateContent>
                <mc:Choice Requires="wps">
                  <w:drawing>
                    <wp:inline distT="0" distB="0" distL="0" distR="0" wp14:anchorId="77888611" wp14:editId="53B1F8BE">
                      <wp:extent cx="1638300" cy="158115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38300" cy="158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A164F8" id="Rectangle 8" o:spid="_x0000_s1026" style="width:129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" filled="f" stroked="f">
                      <o:lock v:ext="edit" aspectratio="t"/>
                      <w10:anchorlock/>
                    </v:rect>
                  </w:pict>
                </mc:Fallback>
              </mc:AlternateContent>
            </w:r>
          </w:p>
          <w:p w14:paraId="56D9882C" w14:textId="77777777" w:rsidR="006B24EB" w:rsidRDefault="006B24EB">
            <w:pPr>
              <w:rPr>
                <w:rFonts w:ascii="SimSun" w:eastAsia="SimSun" w:hAnsi="SimSun" w:hint="eastAsia"/>
                <w:lang w:val="en-US"/>
              </w:rPr>
            </w:pPr>
            <w:r>
              <w:rPr>
                <w:rFonts w:ascii="Calibri" w:hAnsi="Calibri"/>
                <w:lang w:val="en-US"/>
              </w:rPr>
              <w:t> </w:t>
            </w:r>
          </w:p>
          <w:p w14:paraId="7249D506" w14:textId="77777777" w:rsidR="006B24EB" w:rsidRDefault="006B24EB">
            <w:pPr>
              <w:rPr>
                <w:rFonts w:ascii="SimSun" w:eastAsia="SimSun" w:hAnsi="SimSun" w:hint="eastAsia"/>
                <w:lang w:val="en-US"/>
              </w:rPr>
            </w:pPr>
            <w:r>
              <w:rPr>
                <w:rFonts w:ascii="Calibri" w:hAnsi="Calibri"/>
                <w:b/>
                <w:bCs/>
                <w:color w:val="FF0000"/>
                <w:lang w:val="en-US"/>
              </w:rPr>
              <w:t>FL reply:</w:t>
            </w:r>
          </w:p>
          <w:p w14:paraId="157E4D9B" w14:textId="77777777" w:rsidR="006B24EB" w:rsidRDefault="006B24EB">
            <w:pPr>
              <w:rPr>
                <w:rFonts w:ascii="SimSun" w:eastAsia="SimSun" w:hAnsi="SimSun" w:hint="eastAsia"/>
                <w:lang w:val="en-US"/>
              </w:rPr>
            </w:pPr>
            <w:r>
              <w:rPr>
                <w:rFonts w:ascii="Calibri" w:hAnsi="Calibri"/>
                <w:lang w:val="en-US"/>
              </w:rPr>
              <w:t> </w:t>
            </w:r>
          </w:p>
          <w:p w14:paraId="2973E1B1" w14:textId="77777777" w:rsidR="006B24EB" w:rsidRDefault="006B24EB">
            <w:pPr>
              <w:rPr>
                <w:rFonts w:ascii="SimSun" w:eastAsia="SimSun" w:hAnsi="SimSun" w:hint="eastAsia"/>
                <w:lang w:val="en-US"/>
              </w:rPr>
            </w:pPr>
            <w:r>
              <w:rPr>
                <w:rFonts w:ascii="Calibri" w:hAnsi="Calibri"/>
                <w:color w:val="FF0000"/>
                <w:lang w:val="en-US"/>
              </w:rPr>
              <w:t>You have a good point I have updated the proposal accordingly.</w:t>
            </w:r>
          </w:p>
        </w:tc>
      </w:tr>
      <w:tr w:rsidR="006B24EB" w14:paraId="7F51F2E3"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A0520" w14:textId="77777777" w:rsidR="006B24EB" w:rsidRDefault="006B24EB">
            <w:pPr>
              <w:rPr>
                <w:rFonts w:ascii="SimSun" w:eastAsia="SimSun" w:hAnsi="SimSun" w:hint="eastAsia"/>
                <w:lang w:val="en-US"/>
              </w:rPr>
            </w:pPr>
            <w:r>
              <w:rPr>
                <w:rFonts w:ascii="Calibri" w:hAnsi="Calibri"/>
                <w:lang w:val="en-US"/>
              </w:rPr>
              <w:t>OPPO</w:t>
            </w:r>
          </w:p>
        </w:tc>
        <w:tc>
          <w:tcPr>
            <w:tcW w:w="14119" w:type="dxa"/>
            <w:tcBorders>
              <w:top w:val="nil"/>
              <w:left w:val="nil"/>
              <w:bottom w:val="single" w:sz="8" w:space="0" w:color="auto"/>
              <w:right w:val="single" w:sz="8" w:space="0" w:color="auto"/>
            </w:tcBorders>
            <w:tcMar>
              <w:top w:w="0" w:type="dxa"/>
              <w:left w:w="108" w:type="dxa"/>
              <w:bottom w:w="0" w:type="dxa"/>
              <w:right w:w="108" w:type="dxa"/>
            </w:tcMar>
            <w:hideMark/>
          </w:tcPr>
          <w:p w14:paraId="752377BC" w14:textId="77777777" w:rsidR="006B24EB" w:rsidRDefault="006B24EB">
            <w:pPr>
              <w:rPr>
                <w:rFonts w:ascii="SimSun" w:eastAsia="SimSun" w:hAnsi="SimSun" w:hint="eastAsia"/>
                <w:lang w:val="en-US"/>
              </w:rPr>
            </w:pPr>
            <w:r>
              <w:rPr>
                <w:rFonts w:ascii="Calibri" w:hAnsi="Calibri"/>
                <w:color w:val="1F497D"/>
                <w:lang w:val="en-US"/>
              </w:rPr>
              <w:t>Support the proposal. Some re-wording is needed for the 1</w:t>
            </w:r>
            <w:r>
              <w:rPr>
                <w:rFonts w:ascii="Calibri" w:hAnsi="Calibri"/>
                <w:color w:val="1F497D"/>
                <w:vertAlign w:val="superscript"/>
                <w:lang w:val="en-US"/>
              </w:rPr>
              <w:t>st</w:t>
            </w:r>
            <w:r>
              <w:rPr>
                <w:rStyle w:val="apple-converted-space"/>
                <w:rFonts w:ascii="Calibri" w:hAnsi="Calibri"/>
                <w:color w:val="1F497D"/>
                <w:lang w:val="en-US"/>
              </w:rPr>
              <w:t> </w:t>
            </w:r>
            <w:r>
              <w:rPr>
                <w:rFonts w:ascii="Calibri" w:hAnsi="Calibri"/>
                <w:color w:val="1F497D"/>
                <w:lang w:val="en-US"/>
              </w:rPr>
              <w:t>sub-bullet to make it more clear.</w:t>
            </w:r>
          </w:p>
          <w:p w14:paraId="6CB562B4" w14:textId="77777777" w:rsidR="006B24EB" w:rsidRDefault="006B24EB">
            <w:pPr>
              <w:rPr>
                <w:rFonts w:ascii="SimSun" w:eastAsia="SimSun" w:hAnsi="SimSun" w:hint="eastAsia"/>
                <w:lang w:val="en-US"/>
              </w:rPr>
            </w:pPr>
            <w:r>
              <w:rPr>
                <w:rFonts w:ascii="Calibri" w:hAnsi="Calibri"/>
                <w:b/>
                <w:bCs/>
                <w:color w:val="000000"/>
                <w:shd w:val="clear" w:color="auto" w:fill="FFFF00"/>
                <w:lang w:val="en-US"/>
              </w:rPr>
              <w:t>Proposal</w:t>
            </w:r>
            <w:r>
              <w:rPr>
                <w:rFonts w:ascii="Calibri" w:hAnsi="Calibri"/>
                <w:lang w:val="en-US"/>
              </w:rPr>
              <w:t>:</w:t>
            </w:r>
          </w:p>
          <w:p w14:paraId="05987387" w14:textId="77777777" w:rsidR="006B24EB" w:rsidRDefault="006B24EB">
            <w:pPr>
              <w:pStyle w:val="ListParagraph"/>
              <w:ind w:left="420" w:hanging="420"/>
              <w:rPr>
                <w:rFonts w:ascii="SimSun" w:eastAsia="SimSun" w:hAnsi="SimSun" w:hint="eastAsia"/>
                <w:lang w:val="en-US"/>
              </w:rPr>
            </w:pPr>
            <w:r>
              <w:rPr>
                <w:rFonts w:ascii="Wingdings" w:hAnsi="Wingdings"/>
                <w:color w:val="1F497D"/>
                <w:sz w:val="21"/>
                <w:szCs w:val="21"/>
                <w:lang w:val="en-US"/>
              </w:rPr>
              <w:t></w:t>
            </w:r>
            <w:r>
              <w:rPr>
                <w:rFonts w:ascii="Times New Roman" w:hAnsi="Times New Roman" w:cs="Times New Roman"/>
                <w:color w:val="1F497D"/>
                <w:sz w:val="14"/>
                <w:szCs w:val="14"/>
                <w:lang w:val="en-US"/>
              </w:rPr>
              <w:t> </w:t>
            </w:r>
            <w:r>
              <w:rPr>
                <w:rStyle w:val="apple-converted-space"/>
                <w:rFonts w:ascii="Times New Roman" w:hAnsi="Times New Roman" w:cs="Times New Roman"/>
                <w:color w:val="1F497D"/>
                <w:sz w:val="14"/>
                <w:szCs w:val="14"/>
                <w:lang w:val="en-US"/>
              </w:rPr>
              <w:t> </w:t>
            </w:r>
            <w:r>
              <w:rPr>
                <w:lang w:val="en-US"/>
              </w:rPr>
              <w:t>The</w:t>
            </w:r>
            <w:r>
              <w:rPr>
                <w:rStyle w:val="apple-converted-space"/>
                <w:lang w:val="en-US"/>
              </w:rPr>
              <w:t> </w:t>
            </w:r>
            <w:r>
              <w:rPr>
                <w:strike/>
                <w:lang w:val="en-US"/>
              </w:rPr>
              <w:t>relationship between the values of</w:t>
            </w:r>
            <w:r>
              <w:rPr>
                <w:rStyle w:val="apple-converted-space"/>
                <w:lang w:val="en-US"/>
              </w:rPr>
              <w:t> </w:t>
            </w:r>
            <w:r>
              <w:rPr>
                <w:lang w:val="en-US"/>
              </w:rPr>
              <w:t>HPN signaled in DCI and in SCI</w:t>
            </w:r>
            <w:r>
              <w:rPr>
                <w:rStyle w:val="apple-converted-space"/>
                <w:lang w:val="en-US"/>
              </w:rPr>
              <w:t> </w:t>
            </w:r>
            <w:r>
              <w:rPr>
                <w:strike/>
                <w:lang w:val="en-US"/>
              </w:rPr>
              <w:t>is fixed for a</w:t>
            </w:r>
            <w:r>
              <w:rPr>
                <w:rStyle w:val="apple-converted-space"/>
                <w:lang w:val="en-US"/>
              </w:rPr>
              <w:t> </w:t>
            </w:r>
            <w:r>
              <w:rPr>
                <w:color w:val="FF0000"/>
                <w:lang w:val="en-US"/>
              </w:rPr>
              <w:t>correspond to the same</w:t>
            </w:r>
            <w:r>
              <w:rPr>
                <w:rStyle w:val="apple-converted-space"/>
                <w:color w:val="FF0000"/>
                <w:lang w:val="en-US"/>
              </w:rPr>
              <w:t> </w:t>
            </w:r>
            <w:r>
              <w:rPr>
                <w:lang w:val="en-US"/>
              </w:rPr>
              <w:t>TB.</w:t>
            </w:r>
            <w:r>
              <w:rPr>
                <w:rStyle w:val="apple-converted-space"/>
                <w:lang w:val="en-US"/>
              </w:rPr>
              <w:t> </w:t>
            </w:r>
            <w:r>
              <w:rPr>
                <w:color w:val="FF0000"/>
                <w:lang w:val="en-US"/>
              </w:rPr>
              <w:t>How to mapping the HPN in DCI to HPN in SCI is</w:t>
            </w:r>
            <w:r>
              <w:rPr>
                <w:rStyle w:val="apple-converted-space"/>
                <w:color w:val="FF0000"/>
                <w:lang w:val="en-US"/>
              </w:rPr>
              <w:t> </w:t>
            </w:r>
            <w:r>
              <w:rPr>
                <w:strike/>
                <w:color w:val="FF0000"/>
                <w:lang w:val="en-US"/>
              </w:rPr>
              <w:t> </w:t>
            </w:r>
            <w:r>
              <w:rPr>
                <w:strike/>
                <w:lang w:val="en-US"/>
              </w:rPr>
              <w:t>but is otherwise left</w:t>
            </w:r>
            <w:r>
              <w:rPr>
                <w:rStyle w:val="apple-converted-space"/>
                <w:lang w:val="en-US"/>
              </w:rPr>
              <w:t> </w:t>
            </w:r>
            <w:r>
              <w:rPr>
                <w:lang w:val="en-US"/>
              </w:rPr>
              <w:t>up to UE implementation.</w:t>
            </w:r>
          </w:p>
          <w:p w14:paraId="4494B751" w14:textId="77777777" w:rsidR="006B24EB" w:rsidRDefault="006B24EB">
            <w:pPr>
              <w:rPr>
                <w:rFonts w:ascii="SimSun" w:eastAsia="SimSun" w:hAnsi="SimSun" w:hint="eastAsia"/>
                <w:lang w:val="en-US"/>
              </w:rPr>
            </w:pPr>
            <w:r>
              <w:rPr>
                <w:rFonts w:ascii="Calibri" w:hAnsi="Calibri"/>
                <w:b/>
                <w:bCs/>
                <w:color w:val="FF0000"/>
                <w:lang w:val="en-US"/>
              </w:rPr>
              <w:t>FL reply:</w:t>
            </w:r>
          </w:p>
          <w:p w14:paraId="18497DE3" w14:textId="77777777" w:rsidR="006B24EB" w:rsidRDefault="006B24EB">
            <w:pPr>
              <w:rPr>
                <w:rFonts w:ascii="SimSun" w:eastAsia="SimSun" w:hAnsi="SimSun" w:hint="eastAsia"/>
                <w:lang w:val="en-US"/>
              </w:rPr>
            </w:pPr>
            <w:r>
              <w:rPr>
                <w:rFonts w:ascii="Calibri" w:hAnsi="Calibri"/>
                <w:color w:val="FF0000"/>
                <w:lang w:val="en-US"/>
              </w:rPr>
              <w:t> </w:t>
            </w:r>
          </w:p>
          <w:p w14:paraId="566F30AD" w14:textId="77777777" w:rsidR="006B24EB" w:rsidRDefault="006B24EB">
            <w:pPr>
              <w:rPr>
                <w:rFonts w:ascii="SimSun" w:eastAsia="SimSun" w:hAnsi="SimSun" w:hint="eastAsia"/>
                <w:lang w:val="en-US"/>
              </w:rPr>
            </w:pPr>
            <w:r>
              <w:rPr>
                <w:rFonts w:ascii="Calibri" w:hAnsi="Calibri"/>
                <w:color w:val="FF0000"/>
                <w:lang w:val="en-US"/>
              </w:rPr>
              <w:t>I am not sure your wording is any clearer. Perhaps we can have something like the following:</w:t>
            </w:r>
          </w:p>
          <w:p w14:paraId="02AB3411" w14:textId="77777777" w:rsidR="006B24EB" w:rsidRDefault="006B24EB">
            <w:pPr>
              <w:ind w:hanging="360"/>
              <w:rPr>
                <w:rFonts w:ascii="SimSun" w:eastAsia="SimSun" w:hAnsi="SimSun" w:hint="eastAsia"/>
                <w:lang w:val="en-US"/>
              </w:rPr>
            </w:pPr>
            <w:r>
              <w:rPr>
                <w:rFonts w:ascii="Symbol" w:hAnsi="Symbol"/>
                <w:color w:val="FF0000"/>
                <w:lang w:val="en-US"/>
              </w:rPr>
              <w:t></w:t>
            </w:r>
            <w:r>
              <w:rPr>
                <w:rFonts w:ascii="Times New Roman" w:hAnsi="Times New Roman" w:cs="Times New Roman"/>
                <w:color w:val="FF0000"/>
                <w:sz w:val="14"/>
                <w:szCs w:val="14"/>
                <w:lang w:val="en-US"/>
              </w:rPr>
              <w:t>        </w:t>
            </w:r>
            <w:r>
              <w:rPr>
                <w:rStyle w:val="apple-converted-space"/>
                <w:rFonts w:ascii="Times New Roman" w:hAnsi="Times New Roman" w:cs="Times New Roman"/>
                <w:color w:val="FF0000"/>
                <w:sz w:val="14"/>
                <w:szCs w:val="14"/>
                <w:lang w:val="en-US"/>
              </w:rPr>
              <w:t> </w:t>
            </w:r>
            <w:r>
              <w:rPr>
                <w:rFonts w:ascii="Calibri" w:hAnsi="Calibri"/>
                <w:color w:val="FF0000"/>
                <w:lang w:val="en-US"/>
              </w:rPr>
              <w:t>The relationship between the values of HPN signaled in DCI and in SCI is up to UE implementation</w:t>
            </w:r>
          </w:p>
          <w:p w14:paraId="7CF93422" w14:textId="77777777" w:rsidR="006B24EB" w:rsidRDefault="006B24EB">
            <w:pPr>
              <w:ind w:hanging="360"/>
              <w:rPr>
                <w:rFonts w:ascii="SimSun" w:eastAsia="SimSun" w:hAnsi="SimSun" w:hint="eastAsia"/>
                <w:lang w:val="en-US"/>
              </w:rPr>
            </w:pPr>
            <w:r>
              <w:rPr>
                <w:rFonts w:ascii="Courier New" w:hAnsi="Courier New" w:cs="Courier New"/>
                <w:color w:val="1F497D"/>
                <w:sz w:val="21"/>
                <w:szCs w:val="21"/>
                <w:lang w:val="en-US"/>
              </w:rPr>
              <w:t>o</w:t>
            </w:r>
            <w:r>
              <w:rPr>
                <w:rFonts w:ascii="Times New Roman" w:hAnsi="Times New Roman" w:cs="Times New Roman"/>
                <w:color w:val="1F497D"/>
                <w:sz w:val="14"/>
                <w:szCs w:val="14"/>
                <w:lang w:val="en-US"/>
              </w:rPr>
              <w:t>   </w:t>
            </w:r>
            <w:r>
              <w:rPr>
                <w:rStyle w:val="apple-converted-space"/>
                <w:rFonts w:ascii="Times New Roman" w:hAnsi="Times New Roman" w:cs="Times New Roman"/>
                <w:color w:val="1F497D"/>
                <w:sz w:val="14"/>
                <w:szCs w:val="14"/>
                <w:lang w:val="en-US"/>
              </w:rPr>
              <w:t> </w:t>
            </w:r>
            <w:r>
              <w:rPr>
                <w:rFonts w:ascii="Calibri" w:hAnsi="Calibri"/>
                <w:color w:val="FF0000"/>
                <w:lang w:val="en-US"/>
              </w:rPr>
              <w:t>The UE must maintain the same relationship for all transmissions of the TB.</w:t>
            </w:r>
          </w:p>
        </w:tc>
      </w:tr>
      <w:tr w:rsidR="006B24EB" w14:paraId="04B90E4B"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FED06" w14:textId="77777777" w:rsidR="006B24EB" w:rsidRDefault="006B24EB">
            <w:pPr>
              <w:rPr>
                <w:rFonts w:ascii="SimSun" w:eastAsia="SimSun" w:hAnsi="SimSun" w:hint="eastAsia"/>
                <w:lang w:val="en-US"/>
              </w:rPr>
            </w:pPr>
            <w:r>
              <w:rPr>
                <w:rFonts w:ascii="Calibri" w:hAnsi="Calibri"/>
                <w:lang w:val="en-US"/>
              </w:rPr>
              <w:t>Lenovo/MoTM</w:t>
            </w:r>
          </w:p>
        </w:tc>
        <w:tc>
          <w:tcPr>
            <w:tcW w:w="14119" w:type="dxa"/>
            <w:tcBorders>
              <w:top w:val="nil"/>
              <w:left w:val="nil"/>
              <w:bottom w:val="single" w:sz="8" w:space="0" w:color="auto"/>
              <w:right w:val="single" w:sz="8" w:space="0" w:color="auto"/>
            </w:tcBorders>
            <w:tcMar>
              <w:top w:w="0" w:type="dxa"/>
              <w:left w:w="108" w:type="dxa"/>
              <w:bottom w:w="0" w:type="dxa"/>
              <w:right w:w="108" w:type="dxa"/>
            </w:tcMar>
            <w:hideMark/>
          </w:tcPr>
          <w:p w14:paraId="7A94AAB6" w14:textId="77777777" w:rsidR="006B24EB" w:rsidRDefault="006B24EB">
            <w:pPr>
              <w:spacing w:line="252" w:lineRule="atLeast"/>
              <w:jc w:val="both"/>
              <w:rPr>
                <w:rFonts w:ascii="SimSun" w:eastAsia="SimSun" w:hAnsi="SimSun" w:hint="eastAsia"/>
                <w:lang w:val="en-US"/>
              </w:rPr>
            </w:pPr>
            <w:r>
              <w:rPr>
                <w:rFonts w:ascii="Calibri" w:hAnsi="Calibri"/>
                <w:lang w:val="en-US"/>
              </w:rPr>
              <w:t>First bullet is fine with us but for second bullet the current proposal does not allow to detect ACK to NACK error by the TX UE</w:t>
            </w:r>
          </w:p>
          <w:p w14:paraId="3465F66A" w14:textId="77777777" w:rsidR="006B24EB" w:rsidRDefault="006B24EB">
            <w:pPr>
              <w:spacing w:line="252" w:lineRule="atLeast"/>
              <w:jc w:val="both"/>
              <w:rPr>
                <w:rFonts w:ascii="SimSun" w:eastAsia="SimSun" w:hAnsi="SimSun" w:hint="eastAsia"/>
                <w:lang w:val="en-US"/>
              </w:rPr>
            </w:pPr>
            <w:r>
              <w:rPr>
                <w:rFonts w:ascii="Calibri" w:hAnsi="Calibri"/>
                <w:lang w:val="en-US"/>
              </w:rPr>
              <w:t> </w:t>
            </w:r>
          </w:p>
          <w:p w14:paraId="46AB025F" w14:textId="77777777" w:rsidR="006B24EB" w:rsidRDefault="006B24EB">
            <w:pPr>
              <w:spacing w:line="252" w:lineRule="atLeast"/>
              <w:ind w:left="825" w:right="300" w:hanging="360"/>
              <w:rPr>
                <w:rFonts w:ascii="SimSun" w:eastAsia="SimSun" w:hAnsi="SimSun" w:hint="eastAsia"/>
                <w:lang w:val="en-US"/>
              </w:rPr>
            </w:pPr>
            <w:r>
              <w:rPr>
                <w:rFonts w:ascii="Symbol" w:hAnsi="Symbol"/>
                <w:lang w:val="en-US"/>
              </w:rPr>
              <w:t></w:t>
            </w:r>
            <w:r>
              <w:rPr>
                <w:rFonts w:ascii="Times New Roman" w:hAnsi="Times New Roman" w:cs="Times New Roman"/>
                <w:sz w:val="14"/>
                <w:szCs w:val="14"/>
                <w:lang w:val="en-US"/>
              </w:rPr>
              <w:t>        </w:t>
            </w:r>
            <w:r>
              <w:rPr>
                <w:rStyle w:val="apple-converted-space"/>
                <w:rFonts w:ascii="Times New Roman" w:hAnsi="Times New Roman" w:cs="Times New Roman"/>
                <w:sz w:val="14"/>
                <w:szCs w:val="14"/>
                <w:lang w:val="en-US"/>
              </w:rPr>
              <w:t> </w:t>
            </w:r>
            <w:r>
              <w:rPr>
                <w:rFonts w:ascii="Calibri" w:hAnsi="Calibri"/>
                <w:lang w:val="en-US"/>
              </w:rPr>
              <w:t>The</w:t>
            </w:r>
            <w:r>
              <w:rPr>
                <w:rStyle w:val="apple-converted-space"/>
                <w:rFonts w:ascii="Calibri" w:hAnsi="Calibri"/>
                <w:lang w:val="en-US"/>
              </w:rPr>
              <w:t> </w:t>
            </w:r>
            <w:r>
              <w:rPr>
                <w:rFonts w:ascii="Calibri" w:hAnsi="Calibri"/>
                <w:strike/>
                <w:color w:val="FF0000"/>
                <w:lang w:val="en-US"/>
              </w:rPr>
              <w:t>value</w:t>
            </w:r>
            <w:r>
              <w:rPr>
                <w:rStyle w:val="apple-converted-space"/>
                <w:rFonts w:ascii="Calibri" w:hAnsi="Calibri"/>
                <w:strike/>
                <w:color w:val="FF0000"/>
                <w:lang w:val="en-US"/>
              </w:rPr>
              <w:t> </w:t>
            </w:r>
            <w:r>
              <w:rPr>
                <w:rFonts w:ascii="Calibri" w:hAnsi="Calibri"/>
                <w:color w:val="FF0000"/>
                <w:lang w:val="en-US"/>
              </w:rPr>
              <w:t>toggling</w:t>
            </w:r>
            <w:r>
              <w:rPr>
                <w:rStyle w:val="apple-converted-space"/>
                <w:rFonts w:ascii="Calibri" w:hAnsi="Calibri"/>
                <w:lang w:val="en-US"/>
              </w:rPr>
              <w:t> </w:t>
            </w:r>
            <w:r>
              <w:rPr>
                <w:rFonts w:ascii="Calibri" w:hAnsi="Calibri"/>
                <w:lang w:val="en-US"/>
              </w:rPr>
              <w:t>of NDI in DCI is used as the</w:t>
            </w:r>
            <w:r>
              <w:rPr>
                <w:rStyle w:val="apple-converted-space"/>
                <w:rFonts w:ascii="Calibri" w:hAnsi="Calibri"/>
                <w:lang w:val="en-US"/>
              </w:rPr>
              <w:t> </w:t>
            </w:r>
            <w:r>
              <w:rPr>
                <w:rFonts w:ascii="Calibri" w:hAnsi="Calibri"/>
                <w:strike/>
                <w:color w:val="FF0000"/>
                <w:lang w:val="en-US"/>
              </w:rPr>
              <w:t>value</w:t>
            </w:r>
            <w:r>
              <w:rPr>
                <w:rStyle w:val="apple-converted-space"/>
                <w:rFonts w:ascii="Calibri" w:hAnsi="Calibri"/>
                <w:color w:val="FF0000"/>
                <w:lang w:val="en-US"/>
              </w:rPr>
              <w:t> </w:t>
            </w:r>
            <w:r>
              <w:rPr>
                <w:rFonts w:ascii="Calibri" w:hAnsi="Calibri"/>
                <w:color w:val="FF0000"/>
                <w:lang w:val="en-US"/>
              </w:rPr>
              <w:t>toggling</w:t>
            </w:r>
            <w:r>
              <w:rPr>
                <w:rStyle w:val="apple-converted-space"/>
                <w:rFonts w:ascii="Calibri" w:hAnsi="Calibri"/>
                <w:lang w:val="en-US"/>
              </w:rPr>
              <w:t> </w:t>
            </w:r>
            <w:r>
              <w:rPr>
                <w:rFonts w:ascii="Calibri" w:hAnsi="Calibri"/>
                <w:lang w:val="en-US"/>
              </w:rPr>
              <w:t>of NDI in SCI for the first SL transmission scheduled by the DCI. The</w:t>
            </w:r>
            <w:r>
              <w:rPr>
                <w:rStyle w:val="apple-converted-space"/>
                <w:rFonts w:ascii="Calibri" w:hAnsi="Calibri"/>
                <w:lang w:val="en-US"/>
              </w:rPr>
              <w:t> </w:t>
            </w:r>
            <w:r>
              <w:rPr>
                <w:rFonts w:ascii="Calibri" w:hAnsi="Calibri"/>
                <w:color w:val="FF0000"/>
                <w:lang w:val="en-US"/>
              </w:rPr>
              <w:t>SCI for the</w:t>
            </w:r>
            <w:r>
              <w:rPr>
                <w:rStyle w:val="apple-converted-space"/>
                <w:rFonts w:ascii="Calibri" w:hAnsi="Calibri"/>
                <w:lang w:val="en-US"/>
              </w:rPr>
              <w:t> </w:t>
            </w:r>
            <w:r>
              <w:rPr>
                <w:rFonts w:ascii="Calibri" w:hAnsi="Calibri"/>
                <w:lang w:val="en-US"/>
              </w:rPr>
              <w:t>remaining transmissions scheduled by the DCI, if any, have the NDI untoggled</w:t>
            </w:r>
            <w:r>
              <w:rPr>
                <w:rStyle w:val="apple-converted-space"/>
                <w:rFonts w:ascii="Calibri" w:hAnsi="Calibri"/>
                <w:lang w:val="en-US"/>
              </w:rPr>
              <w:t> </w:t>
            </w:r>
            <w:r>
              <w:rPr>
                <w:rFonts w:ascii="Calibri" w:hAnsi="Calibri"/>
                <w:color w:val="FF0000"/>
                <w:lang w:val="en-US"/>
              </w:rPr>
              <w:t>with respect to the first SL transmission. Except for the error cases</w:t>
            </w:r>
          </w:p>
          <w:p w14:paraId="2986C364" w14:textId="77777777" w:rsidR="006B24EB" w:rsidRDefault="006B24EB">
            <w:pPr>
              <w:spacing w:line="252" w:lineRule="atLeast"/>
              <w:jc w:val="both"/>
              <w:rPr>
                <w:rFonts w:ascii="SimSun" w:eastAsia="SimSun" w:hAnsi="SimSun" w:hint="eastAsia"/>
                <w:lang w:val="en-US"/>
              </w:rPr>
            </w:pPr>
            <w:r>
              <w:rPr>
                <w:rFonts w:ascii="Calibri" w:hAnsi="Calibri"/>
                <w:lang w:val="en-US"/>
              </w:rPr>
              <w:t> </w:t>
            </w:r>
          </w:p>
          <w:p w14:paraId="320294BE" w14:textId="77777777" w:rsidR="006B24EB" w:rsidRDefault="006B24EB">
            <w:pPr>
              <w:spacing w:line="252" w:lineRule="atLeast"/>
              <w:jc w:val="both"/>
              <w:rPr>
                <w:rFonts w:ascii="SimSun" w:eastAsia="SimSun" w:hAnsi="SimSun" w:hint="eastAsia"/>
                <w:lang w:val="en-US"/>
              </w:rPr>
            </w:pPr>
            <w:r>
              <w:rPr>
                <w:rFonts w:ascii="Calibri" w:hAnsi="Calibri"/>
                <w:lang w:val="en-US"/>
              </w:rPr>
              <w:t>there are cases like PUCCH ACK to NACK error, where gNB could provide re-transmission grant for the same HPID with un-toggled NDI and since TX UE already knew that the previous SL transmission was successful, as an example TX UE can try to use the SL grant from DCI for another new transmission by indicating a different HPID in the SCI</w:t>
            </w:r>
          </w:p>
          <w:p w14:paraId="28110674" w14:textId="77777777" w:rsidR="006B24EB" w:rsidRDefault="006B24EB">
            <w:pPr>
              <w:spacing w:line="252" w:lineRule="atLeast"/>
              <w:jc w:val="both"/>
              <w:rPr>
                <w:rFonts w:ascii="SimSun" w:eastAsia="SimSun" w:hAnsi="SimSun" w:hint="eastAsia"/>
                <w:lang w:val="en-US"/>
              </w:rPr>
            </w:pPr>
            <w:r>
              <w:rPr>
                <w:rFonts w:ascii="Calibri" w:hAnsi="Calibri"/>
                <w:lang w:val="en-US"/>
              </w:rPr>
              <w:t> </w:t>
            </w:r>
          </w:p>
          <w:p w14:paraId="30316A48" w14:textId="77777777" w:rsidR="006B24EB" w:rsidRDefault="006B24EB">
            <w:pPr>
              <w:spacing w:line="252" w:lineRule="atLeast"/>
              <w:jc w:val="both"/>
              <w:rPr>
                <w:rFonts w:ascii="SimSun" w:eastAsia="SimSun" w:hAnsi="SimSun" w:hint="eastAsia"/>
                <w:lang w:val="en-US"/>
              </w:rPr>
            </w:pPr>
            <w:r>
              <w:rPr>
                <w:rFonts w:ascii="Calibri" w:hAnsi="Calibri"/>
                <w:b/>
                <w:bCs/>
                <w:color w:val="FF0000"/>
                <w:lang w:val="en-US"/>
              </w:rPr>
              <w:t>FL reply:</w:t>
            </w:r>
          </w:p>
          <w:p w14:paraId="72C71356" w14:textId="77777777" w:rsidR="006B24EB" w:rsidRDefault="006B24EB">
            <w:pPr>
              <w:rPr>
                <w:rFonts w:ascii="SimSun" w:eastAsia="SimSun" w:hAnsi="SimSun" w:hint="eastAsia"/>
                <w:lang w:val="en-US"/>
              </w:rPr>
            </w:pPr>
            <w:r>
              <w:rPr>
                <w:rFonts w:ascii="Calibri" w:hAnsi="Calibri"/>
                <w:lang w:val="en-US"/>
              </w:rPr>
              <w:t> </w:t>
            </w:r>
          </w:p>
          <w:p w14:paraId="5A3DB982" w14:textId="77777777" w:rsidR="006B24EB" w:rsidRDefault="006B24EB">
            <w:pPr>
              <w:rPr>
                <w:rFonts w:ascii="SimSun" w:eastAsia="SimSun" w:hAnsi="SimSun" w:hint="eastAsia"/>
                <w:lang w:val="en-US"/>
              </w:rPr>
            </w:pPr>
            <w:r>
              <w:rPr>
                <w:rFonts w:ascii="Calibri" w:hAnsi="Calibri"/>
                <w:color w:val="FF0000"/>
                <w:lang w:val="en-US"/>
              </w:rPr>
              <w:t>My understanding is that in this case, the UE would be in control of what to do with the resources. This seems to go in the opposite direction of my understanding of most of the contributions.</w:t>
            </w:r>
          </w:p>
          <w:p w14:paraId="0D02A664" w14:textId="77777777" w:rsidR="006B24EB" w:rsidRDefault="006B24EB">
            <w:pPr>
              <w:rPr>
                <w:rFonts w:ascii="SimSun" w:eastAsia="SimSun" w:hAnsi="SimSun" w:hint="eastAsia"/>
                <w:lang w:val="en-US"/>
              </w:rPr>
            </w:pPr>
            <w:r>
              <w:rPr>
                <w:rFonts w:ascii="Calibri" w:hAnsi="Calibri"/>
                <w:color w:val="7030A0"/>
                <w:lang w:val="en-US"/>
              </w:rPr>
              <w:t>Lenovo/MoTM Reply:</w:t>
            </w:r>
          </w:p>
          <w:p w14:paraId="39B60EF7" w14:textId="77777777" w:rsidR="006B24EB" w:rsidRDefault="006B24EB">
            <w:pPr>
              <w:rPr>
                <w:rFonts w:ascii="SimSun" w:eastAsia="SimSun" w:hAnsi="SimSun" w:hint="eastAsia"/>
                <w:lang w:val="en-US"/>
              </w:rPr>
            </w:pPr>
            <w:r>
              <w:rPr>
                <w:rFonts w:ascii="Calibri" w:hAnsi="Calibri"/>
                <w:color w:val="7030A0"/>
                <w:lang w:val="en-US"/>
              </w:rPr>
              <w:t>The point that we want to bring is that the current proposal does not take into account the PUCCH ACK/NACK error cases. It is better to keep a note that the current proposal does not take into the UE behavior for PUCCH ACK/NACK error cases.</w:t>
            </w:r>
            <w:r>
              <w:rPr>
                <w:rStyle w:val="apple-converted-space"/>
                <w:rFonts w:ascii="Calibri" w:hAnsi="Calibri"/>
                <w:color w:val="7030A0"/>
                <w:lang w:val="en-US"/>
              </w:rPr>
              <w:t> </w:t>
            </w:r>
          </w:p>
          <w:p w14:paraId="1868DBE5" w14:textId="77777777" w:rsidR="006B24EB" w:rsidRDefault="006B24EB">
            <w:pPr>
              <w:rPr>
                <w:rFonts w:ascii="SimSun" w:eastAsia="SimSun" w:hAnsi="SimSun" w:hint="eastAsia"/>
                <w:lang w:val="en-US"/>
              </w:rPr>
            </w:pPr>
            <w:r>
              <w:rPr>
                <w:rFonts w:ascii="Calibri" w:hAnsi="Calibri"/>
                <w:color w:val="1F497D"/>
                <w:lang w:val="en-US"/>
              </w:rPr>
              <w:t> </w:t>
            </w:r>
          </w:p>
          <w:p w14:paraId="09C8A295" w14:textId="77777777" w:rsidR="006B24EB" w:rsidRDefault="006B24EB">
            <w:pPr>
              <w:spacing w:line="252" w:lineRule="atLeast"/>
              <w:jc w:val="both"/>
              <w:rPr>
                <w:rFonts w:ascii="SimSun" w:eastAsia="SimSun" w:hAnsi="SimSun" w:hint="eastAsia"/>
                <w:lang w:val="en-US"/>
              </w:rPr>
            </w:pPr>
            <w:r>
              <w:rPr>
                <w:rFonts w:ascii="Calibri" w:hAnsi="Calibri"/>
                <w:color w:val="1F497D"/>
                <w:lang w:val="en-US"/>
              </w:rPr>
              <w:t> </w:t>
            </w:r>
            <w:r>
              <w:rPr>
                <w:rFonts w:ascii="Calibri" w:hAnsi="Calibri"/>
                <w:b/>
                <w:bCs/>
                <w:color w:val="FF0000"/>
                <w:lang w:val="en-US"/>
              </w:rPr>
              <w:t>FL reply:</w:t>
            </w:r>
          </w:p>
          <w:p w14:paraId="7111DF0E" w14:textId="77777777" w:rsidR="006B24EB" w:rsidRDefault="006B24EB">
            <w:pPr>
              <w:rPr>
                <w:rFonts w:ascii="SimSun" w:eastAsia="SimSun" w:hAnsi="SimSun" w:hint="eastAsia"/>
                <w:lang w:val="en-US"/>
              </w:rPr>
            </w:pPr>
            <w:r>
              <w:rPr>
                <w:rFonts w:ascii="Calibri" w:hAnsi="Calibri"/>
                <w:lang w:val="en-US"/>
              </w:rPr>
              <w:t> </w:t>
            </w:r>
          </w:p>
          <w:p w14:paraId="55A70D60" w14:textId="77777777" w:rsidR="006B24EB" w:rsidRDefault="006B24EB">
            <w:pPr>
              <w:rPr>
                <w:rFonts w:ascii="SimSun" w:eastAsia="SimSun" w:hAnsi="SimSun" w:hint="eastAsia"/>
                <w:lang w:val="en-US"/>
              </w:rPr>
            </w:pPr>
            <w:r>
              <w:rPr>
                <w:rFonts w:ascii="Calibri" w:hAnsi="Calibri"/>
                <w:color w:val="FF0000"/>
                <w:lang w:val="en-US"/>
              </w:rPr>
              <w:t>Given that the concern is not shared by many companies, I propose not to include such a note.</w:t>
            </w:r>
          </w:p>
        </w:tc>
      </w:tr>
      <w:tr w:rsidR="006B24EB" w14:paraId="415CC2AF"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614BC" w14:textId="77777777" w:rsidR="006B24EB" w:rsidRDefault="006B24EB">
            <w:pPr>
              <w:rPr>
                <w:rFonts w:ascii="SimSun" w:eastAsia="SimSun" w:hAnsi="SimSun" w:hint="eastAsia"/>
                <w:lang w:val="en-US"/>
              </w:rPr>
            </w:pPr>
            <w:r>
              <w:rPr>
                <w:rFonts w:ascii="Calibri" w:hAnsi="Calibri"/>
                <w:color w:val="7030A0"/>
                <w:lang w:val="en-US"/>
              </w:rPr>
              <w:t>vivo</w:t>
            </w:r>
          </w:p>
        </w:tc>
        <w:tc>
          <w:tcPr>
            <w:tcW w:w="14119" w:type="dxa"/>
            <w:tcBorders>
              <w:top w:val="nil"/>
              <w:left w:val="nil"/>
              <w:bottom w:val="single" w:sz="8" w:space="0" w:color="auto"/>
              <w:right w:val="single" w:sz="8" w:space="0" w:color="auto"/>
            </w:tcBorders>
            <w:tcMar>
              <w:top w:w="0" w:type="dxa"/>
              <w:left w:w="108" w:type="dxa"/>
              <w:bottom w:w="0" w:type="dxa"/>
              <w:right w:w="108" w:type="dxa"/>
            </w:tcMar>
            <w:hideMark/>
          </w:tcPr>
          <w:p w14:paraId="493640B2" w14:textId="77777777" w:rsidR="006B24EB" w:rsidRDefault="006B24EB">
            <w:pPr>
              <w:rPr>
                <w:rFonts w:ascii="SimSun" w:eastAsia="SimSun" w:hAnsi="SimSun" w:hint="eastAsia"/>
                <w:lang w:val="en-US"/>
              </w:rPr>
            </w:pPr>
            <w:r>
              <w:rPr>
                <w:rFonts w:ascii="Calibri" w:hAnsi="Calibri"/>
                <w:color w:val="7030A0"/>
                <w:sz w:val="20"/>
                <w:szCs w:val="20"/>
                <w:lang w:val="en-US"/>
              </w:rPr>
              <w:t>We support the change made by DOCOMO.</w:t>
            </w:r>
          </w:p>
        </w:tc>
      </w:tr>
      <w:tr w:rsidR="006B24EB" w14:paraId="1837ABDE"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57B22" w14:textId="77777777" w:rsidR="006B24EB" w:rsidRDefault="006B24EB">
            <w:pPr>
              <w:rPr>
                <w:rFonts w:ascii="SimSun" w:eastAsia="SimSun" w:hAnsi="SimSun" w:hint="eastAsia"/>
                <w:lang w:val="en-US"/>
              </w:rPr>
            </w:pPr>
            <w:r>
              <w:rPr>
                <w:rFonts w:ascii="Calibri" w:hAnsi="Calibri"/>
                <w:color w:val="7030A0"/>
                <w:lang w:val="en-US"/>
              </w:rPr>
              <w:t>Panasonic</w:t>
            </w:r>
          </w:p>
        </w:tc>
        <w:tc>
          <w:tcPr>
            <w:tcW w:w="14119" w:type="dxa"/>
            <w:tcBorders>
              <w:top w:val="nil"/>
              <w:left w:val="nil"/>
              <w:bottom w:val="single" w:sz="8" w:space="0" w:color="auto"/>
              <w:right w:val="single" w:sz="8" w:space="0" w:color="auto"/>
            </w:tcBorders>
            <w:tcMar>
              <w:top w:w="0" w:type="dxa"/>
              <w:left w:w="108" w:type="dxa"/>
              <w:bottom w:w="0" w:type="dxa"/>
              <w:right w:w="108" w:type="dxa"/>
            </w:tcMar>
            <w:hideMark/>
          </w:tcPr>
          <w:p w14:paraId="4D718CBC" w14:textId="77777777" w:rsidR="006B24EB" w:rsidRDefault="006B24EB">
            <w:pPr>
              <w:rPr>
                <w:rFonts w:ascii="SimSun" w:eastAsia="SimSun" w:hAnsi="SimSun" w:hint="eastAsia"/>
                <w:lang w:val="en-US"/>
              </w:rPr>
            </w:pPr>
            <w:r>
              <w:rPr>
                <w:rFonts w:ascii="Calibri" w:hAnsi="Calibri"/>
                <w:color w:val="7030A0"/>
                <w:sz w:val="20"/>
                <w:szCs w:val="20"/>
                <w:lang w:val="en-US"/>
              </w:rPr>
              <w:t>On the first sub-bullet, I was not so sure the meaning. I support the FL's reply to OPPO as the meaning is more clear. I think this is common between DG case and activation DCI for CG?</w:t>
            </w:r>
          </w:p>
          <w:p w14:paraId="1830E9C8" w14:textId="77777777" w:rsidR="006B24EB" w:rsidRDefault="006B24EB">
            <w:pPr>
              <w:rPr>
                <w:rFonts w:ascii="SimSun" w:eastAsia="SimSun" w:hAnsi="SimSun" w:hint="eastAsia"/>
                <w:lang w:val="en-US"/>
              </w:rPr>
            </w:pPr>
            <w:r>
              <w:rPr>
                <w:rFonts w:ascii="Calibri" w:hAnsi="Calibri"/>
                <w:color w:val="7030A0"/>
                <w:sz w:val="20"/>
                <w:szCs w:val="20"/>
                <w:lang w:val="en-US"/>
              </w:rPr>
              <w:t>On the 2nd sub-bullet, it would be better to explicitly clarify these are DG case (and not including activation DCI for CG).</w:t>
            </w:r>
          </w:p>
          <w:p w14:paraId="27855D32" w14:textId="77777777" w:rsidR="006B24EB" w:rsidRDefault="006B24EB">
            <w:pPr>
              <w:rPr>
                <w:rFonts w:ascii="SimSun" w:eastAsia="SimSun" w:hAnsi="SimSun" w:hint="eastAsia"/>
                <w:lang w:val="en-US"/>
              </w:rPr>
            </w:pPr>
            <w:r>
              <w:rPr>
                <w:rFonts w:ascii="Calibri" w:hAnsi="Calibri"/>
                <w:sz w:val="20"/>
                <w:szCs w:val="20"/>
                <w:lang w:val="en-US"/>
              </w:rPr>
              <w:t> </w:t>
            </w:r>
          </w:p>
          <w:p w14:paraId="42552234" w14:textId="77777777" w:rsidR="006B24EB" w:rsidRDefault="006B24EB">
            <w:pPr>
              <w:spacing w:line="252" w:lineRule="atLeast"/>
              <w:jc w:val="both"/>
              <w:rPr>
                <w:rFonts w:ascii="SimSun" w:eastAsia="SimSun" w:hAnsi="SimSun" w:hint="eastAsia"/>
                <w:lang w:val="en-US"/>
              </w:rPr>
            </w:pPr>
            <w:r>
              <w:rPr>
                <w:rFonts w:ascii="Calibri" w:hAnsi="Calibri"/>
                <w:b/>
                <w:bCs/>
                <w:color w:val="FF0000"/>
                <w:lang w:val="en-US"/>
              </w:rPr>
              <w:t>FL reply:</w:t>
            </w:r>
          </w:p>
          <w:p w14:paraId="570DF2F7" w14:textId="77777777" w:rsidR="006B24EB" w:rsidRDefault="006B24EB">
            <w:pPr>
              <w:rPr>
                <w:rFonts w:ascii="SimSun" w:eastAsia="SimSun" w:hAnsi="SimSun" w:hint="eastAsia"/>
                <w:lang w:val="en-US"/>
              </w:rPr>
            </w:pPr>
            <w:r>
              <w:rPr>
                <w:rFonts w:ascii="Calibri" w:hAnsi="Calibri"/>
                <w:sz w:val="20"/>
                <w:szCs w:val="20"/>
                <w:lang w:val="en-US"/>
              </w:rPr>
              <w:t> </w:t>
            </w:r>
          </w:p>
          <w:p w14:paraId="4D2ED1E9" w14:textId="77777777" w:rsidR="006B24EB" w:rsidRDefault="006B24EB">
            <w:pPr>
              <w:rPr>
                <w:rFonts w:ascii="SimSun" w:eastAsia="SimSun" w:hAnsi="SimSun" w:hint="eastAsia"/>
                <w:lang w:val="en-US"/>
              </w:rPr>
            </w:pPr>
            <w:r>
              <w:rPr>
                <w:rFonts w:ascii="Calibri" w:hAnsi="Calibri"/>
                <w:color w:val="FF0000"/>
                <w:lang w:val="en-US"/>
              </w:rPr>
              <w:t>Thanks for your comment. I share your impression about the first bullet. Regarding the second bullet, I have added a small clarification to it.</w:t>
            </w:r>
          </w:p>
        </w:tc>
      </w:tr>
      <w:tr w:rsidR="006B24EB" w14:paraId="4012B692"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91D6B" w14:textId="77777777" w:rsidR="006B24EB" w:rsidRDefault="006B24EB">
            <w:pPr>
              <w:rPr>
                <w:rFonts w:ascii="Calibri" w:eastAsia="Gulim" w:hAnsi="Calibri" w:hint="eastAsia"/>
                <w:lang w:val="en-US"/>
              </w:rPr>
            </w:pPr>
            <w:r>
              <w:rPr>
                <w:rFonts w:ascii="Calibri" w:hAnsi="Calibri"/>
                <w:color w:val="1F497D"/>
                <w:lang w:val="en-US"/>
              </w:rPr>
              <w:t>LG Electronics</w:t>
            </w:r>
          </w:p>
        </w:tc>
        <w:tc>
          <w:tcPr>
            <w:tcW w:w="14119" w:type="dxa"/>
            <w:tcBorders>
              <w:top w:val="nil"/>
              <w:left w:val="nil"/>
              <w:bottom w:val="single" w:sz="8" w:space="0" w:color="auto"/>
              <w:right w:val="single" w:sz="8" w:space="0" w:color="auto"/>
            </w:tcBorders>
            <w:tcMar>
              <w:top w:w="0" w:type="dxa"/>
              <w:left w:w="108" w:type="dxa"/>
              <w:bottom w:w="0" w:type="dxa"/>
              <w:right w:w="108" w:type="dxa"/>
            </w:tcMar>
          </w:tcPr>
          <w:p w14:paraId="007A6D70" w14:textId="77777777" w:rsidR="006B24EB" w:rsidRDefault="006B24EB">
            <w:pPr>
              <w:rPr>
                <w:rFonts w:ascii="Calibri" w:hAnsi="Calibri"/>
                <w:color w:val="1F497D"/>
                <w:lang w:val="en-US"/>
              </w:rPr>
            </w:pPr>
            <w:r>
              <w:rPr>
                <w:rFonts w:ascii="Calibri" w:hAnsi="Calibri"/>
                <w:color w:val="1F497D"/>
                <w:lang w:val="en-US"/>
              </w:rPr>
              <w:t>Since the wording of “signaled in DCI” is used in 1</w:t>
            </w:r>
            <w:r>
              <w:rPr>
                <w:rFonts w:ascii="Calibri" w:hAnsi="Calibri"/>
                <w:color w:val="1F497D"/>
                <w:vertAlign w:val="superscript"/>
                <w:lang w:val="en-US"/>
              </w:rPr>
              <w:t>st</w:t>
            </w:r>
            <w:r>
              <w:rPr>
                <w:rFonts w:ascii="Calibri" w:hAnsi="Calibri"/>
                <w:color w:val="1F497D"/>
                <w:lang w:val="en-US"/>
              </w:rPr>
              <w:t xml:space="preserve"> proposal, this proposal is only targeting DG operation? To be specific, when PUCCH reporting is not enabled for CG operation, does this proposal say that there would be a fixed relationship between HPN value of CG Activation DCI and HPN value of SCI? We think that this is wrong. </w:t>
            </w:r>
          </w:p>
          <w:p w14:paraId="73C513D0" w14:textId="77777777" w:rsidR="006B24EB" w:rsidRDefault="006B24EB">
            <w:pPr>
              <w:rPr>
                <w:rFonts w:ascii="Malgun Gothic" w:eastAsia="Malgun Gothic" w:hAnsi="Malgun Gothic"/>
                <w:color w:val="1F497D"/>
                <w:sz w:val="20"/>
                <w:szCs w:val="20"/>
                <w:lang w:val="en-US"/>
              </w:rPr>
            </w:pPr>
          </w:p>
          <w:p w14:paraId="6A960042" w14:textId="77777777" w:rsidR="006B24EB" w:rsidRDefault="006B24EB">
            <w:pPr>
              <w:rPr>
                <w:rFonts w:ascii="Calibri" w:eastAsia="Gulim" w:hAnsi="Calibri" w:hint="eastAsia"/>
                <w:lang w:val="en-US"/>
              </w:rPr>
            </w:pPr>
            <w:r>
              <w:rPr>
                <w:rFonts w:ascii="Calibri" w:hAnsi="Calibri"/>
                <w:color w:val="1F497D"/>
                <w:lang w:val="en-US"/>
              </w:rPr>
              <w:t>For 2</w:t>
            </w:r>
            <w:r>
              <w:rPr>
                <w:rFonts w:ascii="Calibri" w:hAnsi="Calibri"/>
                <w:color w:val="1F497D"/>
                <w:vertAlign w:val="superscript"/>
                <w:lang w:val="en-US"/>
              </w:rPr>
              <w:t>nd</w:t>
            </w:r>
            <w:r>
              <w:rPr>
                <w:rFonts w:ascii="Calibri" w:hAnsi="Calibri"/>
                <w:color w:val="1F497D"/>
                <w:lang w:val="en-US"/>
              </w:rPr>
              <w:t xml:space="preserve"> proposal, we think that there is no need to have the same/exact NDI value between DCI and SCI. In other words, it would be sufficient that NDI toggling of SCI follows that of DCI scheduling SL resource used for first SL TX, and the exact NDI value setting of SCI is up to UE implementation. In case of CG operation, if it is guaranteed that re-TX operation for a TB is also confined within a period (where first TX occurred), even with this proposed approach, there would be no problematic case where a UE receives multiple DG DCIs with the same HPN and NDI values for scheduling re-TXs of different TBs. </w:t>
            </w:r>
          </w:p>
          <w:p w14:paraId="1794C65C" w14:textId="77777777" w:rsidR="006B24EB" w:rsidRDefault="006B24EB">
            <w:pPr>
              <w:rPr>
                <w:rFonts w:ascii="Calibri" w:hAnsi="Calibri"/>
                <w:lang w:val="en-US"/>
              </w:rPr>
            </w:pPr>
          </w:p>
          <w:p w14:paraId="418A7DDB" w14:textId="77777777" w:rsidR="006B24EB" w:rsidRDefault="006B24EB">
            <w:pPr>
              <w:spacing w:line="252" w:lineRule="atLeast"/>
              <w:jc w:val="both"/>
              <w:rPr>
                <w:rFonts w:ascii="SimSun" w:eastAsia="SimSun" w:hAnsi="SimSun"/>
                <w:sz w:val="24"/>
                <w:szCs w:val="24"/>
                <w:lang w:val="en-US"/>
              </w:rPr>
            </w:pPr>
            <w:r>
              <w:rPr>
                <w:rFonts w:ascii="Calibri" w:hAnsi="Calibri"/>
                <w:b/>
                <w:bCs/>
                <w:color w:val="FF0000"/>
                <w:lang w:val="en-US"/>
              </w:rPr>
              <w:t>FL reply:</w:t>
            </w:r>
          </w:p>
          <w:p w14:paraId="790B0A81" w14:textId="77777777" w:rsidR="006B24EB" w:rsidRDefault="006B24EB">
            <w:pPr>
              <w:rPr>
                <w:rFonts w:ascii="SimSun" w:eastAsia="SimSun" w:hAnsi="SimSun" w:hint="eastAsia"/>
                <w:lang w:val="en-US"/>
              </w:rPr>
            </w:pPr>
            <w:r>
              <w:rPr>
                <w:rFonts w:ascii="Calibri" w:hAnsi="Calibri"/>
                <w:sz w:val="20"/>
                <w:szCs w:val="20"/>
                <w:lang w:val="en-US"/>
              </w:rPr>
              <w:t> </w:t>
            </w:r>
          </w:p>
          <w:p w14:paraId="379EEFCC" w14:textId="77777777" w:rsidR="006B24EB" w:rsidRDefault="006B24EB">
            <w:pPr>
              <w:rPr>
                <w:rFonts w:ascii="Calibri" w:eastAsia="Gulim" w:hAnsi="Calibri" w:hint="eastAsia"/>
                <w:color w:val="FF0000"/>
                <w:lang w:val="en-US"/>
              </w:rPr>
            </w:pPr>
            <w:r>
              <w:rPr>
                <w:rFonts w:ascii="Calibri" w:hAnsi="Calibri"/>
                <w:color w:val="FF0000"/>
                <w:lang w:val="en-US"/>
              </w:rPr>
              <w:t>For the first issue, my understanding is that since the first transmission uses the CG resources, then HARQ process ID is determined as for CG (Uu formula, see Q2). In scheduling of additional retransmissions, the gNB would use that HARQ process ID (as described by the working assumption from RAN1#99).</w:t>
            </w:r>
          </w:p>
          <w:p w14:paraId="6762458A" w14:textId="77777777" w:rsidR="006B24EB" w:rsidRDefault="006B24EB">
            <w:pPr>
              <w:rPr>
                <w:rFonts w:ascii="Calibri" w:hAnsi="Calibri"/>
                <w:lang w:val="en-US"/>
              </w:rPr>
            </w:pPr>
            <w:r>
              <w:rPr>
                <w:rFonts w:ascii="Calibri" w:hAnsi="Calibri"/>
                <w:color w:val="FF0000"/>
                <w:lang w:val="en-US"/>
              </w:rPr>
              <w:t>For the second issue, what you describe is my reding of the proposal. The actual value of NDI is not mentioned, only the toggling. For more information, see the discussion with DOCOMO. Regarding configured grant, how to use NDI was already agreed in RAN1#99.</w:t>
            </w:r>
          </w:p>
        </w:tc>
      </w:tr>
      <w:tr w:rsidR="006B24EB" w14:paraId="5E4F4391"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2C70C" w14:textId="77777777" w:rsidR="006B24EB" w:rsidRDefault="006B24EB">
            <w:pPr>
              <w:rPr>
                <w:rFonts w:ascii="Calibri" w:hAnsi="Calibri"/>
                <w:color w:val="1F497D"/>
                <w:lang w:val="en-US"/>
              </w:rPr>
            </w:pPr>
            <w:r>
              <w:rPr>
                <w:rFonts w:ascii="Calibri" w:hAnsi="Calibri"/>
                <w:color w:val="1F497D"/>
                <w:lang w:val="en-US"/>
              </w:rPr>
              <w:t>Qualcomm</w:t>
            </w:r>
          </w:p>
        </w:tc>
        <w:tc>
          <w:tcPr>
            <w:tcW w:w="14119" w:type="dxa"/>
            <w:tcBorders>
              <w:top w:val="nil"/>
              <w:left w:val="nil"/>
              <w:bottom w:val="single" w:sz="8" w:space="0" w:color="auto"/>
              <w:right w:val="single" w:sz="8" w:space="0" w:color="auto"/>
            </w:tcBorders>
            <w:tcMar>
              <w:top w:w="0" w:type="dxa"/>
              <w:left w:w="108" w:type="dxa"/>
              <w:bottom w:w="0" w:type="dxa"/>
              <w:right w:w="108" w:type="dxa"/>
            </w:tcMar>
          </w:tcPr>
          <w:p w14:paraId="04CAE032" w14:textId="77777777" w:rsidR="006B24EB" w:rsidRDefault="006B24EB">
            <w:pPr>
              <w:rPr>
                <w:rFonts w:ascii="Calibri" w:hAnsi="Calibri"/>
                <w:sz w:val="20"/>
                <w:szCs w:val="20"/>
                <w:lang w:val="en-US"/>
              </w:rPr>
            </w:pPr>
            <w:r>
              <w:rPr>
                <w:rFonts w:ascii="Calibri" w:hAnsi="Calibri"/>
                <w:sz w:val="20"/>
                <w:szCs w:val="20"/>
                <w:lang w:val="en-US"/>
              </w:rPr>
              <w:t>While our understanding of the agreement was that the same HPN is used in DCI and SCI, we can accept the proposal. Some clarification to the wording is needed though, otherwise it is not clear what is left up to UE implementation:</w:t>
            </w:r>
          </w:p>
          <w:p w14:paraId="7607808E" w14:textId="77777777" w:rsidR="006B24EB" w:rsidRDefault="006B24EB" w:rsidP="006B24EB">
            <w:pPr>
              <w:numPr>
                <w:ilvl w:val="0"/>
                <w:numId w:val="22"/>
              </w:numPr>
              <w:spacing w:after="0" w:line="252" w:lineRule="auto"/>
              <w:ind w:right="300"/>
              <w:rPr>
                <w:rFonts w:ascii="Calibri" w:hAnsi="Calibri"/>
                <w:lang w:val="en-US"/>
              </w:rPr>
            </w:pPr>
            <w:r>
              <w:rPr>
                <w:rFonts w:ascii="Calibri" w:hAnsi="Calibri"/>
                <w:lang w:val="en-US"/>
              </w:rPr>
              <w:t xml:space="preserve">The </w:t>
            </w:r>
            <w:r>
              <w:rPr>
                <w:rFonts w:ascii="Calibri" w:hAnsi="Calibri"/>
                <w:color w:val="FF0000"/>
                <w:lang w:val="en-US"/>
              </w:rPr>
              <w:t xml:space="preserve">mapping </w:t>
            </w:r>
            <w:r>
              <w:rPr>
                <w:rFonts w:ascii="Calibri" w:hAnsi="Calibri"/>
                <w:strike/>
                <w:color w:val="FF0000"/>
                <w:lang w:val="en-US"/>
              </w:rPr>
              <w:t>relationship</w:t>
            </w:r>
            <w:r>
              <w:rPr>
                <w:rFonts w:ascii="Calibri" w:hAnsi="Calibri"/>
                <w:color w:val="FF0000"/>
                <w:lang w:val="en-US"/>
              </w:rPr>
              <w:t xml:space="preserve"> </w:t>
            </w:r>
            <w:r>
              <w:rPr>
                <w:rFonts w:ascii="Calibri" w:hAnsi="Calibri"/>
                <w:lang w:val="en-US"/>
              </w:rPr>
              <w:t xml:space="preserve">between the values of HPN signaled in DCI and </w:t>
            </w:r>
            <w:r>
              <w:rPr>
                <w:rFonts w:ascii="Calibri" w:hAnsi="Calibri"/>
                <w:color w:val="FF0000"/>
                <w:lang w:val="en-US"/>
              </w:rPr>
              <w:t xml:space="preserve">HPN signaled </w:t>
            </w:r>
            <w:r>
              <w:rPr>
                <w:rFonts w:ascii="Calibri" w:hAnsi="Calibri"/>
                <w:lang w:val="en-US"/>
              </w:rPr>
              <w:t xml:space="preserve">in SCI is fixed for a TB, </w:t>
            </w:r>
            <w:r>
              <w:rPr>
                <w:rFonts w:ascii="Calibri" w:hAnsi="Calibri"/>
                <w:strike/>
                <w:color w:val="FF0000"/>
                <w:lang w:val="en-US"/>
              </w:rPr>
              <w:t>but is otherwise left</w:t>
            </w:r>
            <w:r>
              <w:rPr>
                <w:rFonts w:ascii="Calibri" w:hAnsi="Calibri"/>
                <w:lang w:val="en-US"/>
              </w:rPr>
              <w:t xml:space="preserve"> and is up to UE implementation</w:t>
            </w:r>
          </w:p>
          <w:p w14:paraId="18DBAFBD" w14:textId="77777777" w:rsidR="006B24EB" w:rsidRDefault="006B24EB">
            <w:pPr>
              <w:rPr>
                <w:rFonts w:ascii="Calibri" w:hAnsi="Calibri"/>
                <w:lang w:val="en-US"/>
              </w:rPr>
            </w:pPr>
          </w:p>
          <w:p w14:paraId="3EF1ABB8" w14:textId="77777777" w:rsidR="006B24EB" w:rsidRDefault="006B24EB">
            <w:pPr>
              <w:spacing w:line="252" w:lineRule="atLeast"/>
              <w:jc w:val="both"/>
              <w:rPr>
                <w:rFonts w:ascii="SimSun" w:eastAsia="SimSun" w:hAnsi="SimSun"/>
                <w:color w:val="FF0000"/>
                <w:sz w:val="24"/>
                <w:szCs w:val="24"/>
                <w:lang w:val="en-US"/>
              </w:rPr>
            </w:pPr>
            <w:r>
              <w:rPr>
                <w:rFonts w:ascii="Calibri" w:hAnsi="Calibri"/>
                <w:b/>
                <w:bCs/>
                <w:color w:val="FF0000"/>
                <w:lang w:val="en-US"/>
              </w:rPr>
              <w:t>FL reply:</w:t>
            </w:r>
          </w:p>
          <w:p w14:paraId="58558550" w14:textId="77777777" w:rsidR="006B24EB" w:rsidRDefault="006B24EB">
            <w:pPr>
              <w:rPr>
                <w:rFonts w:ascii="SimSun" w:eastAsia="SimSun" w:hAnsi="SimSun" w:hint="eastAsia"/>
                <w:color w:val="FF0000"/>
                <w:lang w:val="en-US"/>
              </w:rPr>
            </w:pPr>
            <w:r>
              <w:rPr>
                <w:rFonts w:ascii="Calibri" w:hAnsi="Calibri"/>
                <w:color w:val="FF0000"/>
                <w:sz w:val="20"/>
                <w:szCs w:val="20"/>
                <w:lang w:val="en-US"/>
              </w:rPr>
              <w:t> </w:t>
            </w:r>
          </w:p>
          <w:p w14:paraId="63E8353D" w14:textId="77777777" w:rsidR="006B24EB" w:rsidRDefault="006B24EB">
            <w:pPr>
              <w:rPr>
                <w:rFonts w:ascii="Calibri" w:eastAsia="Gulim" w:hAnsi="Calibri" w:hint="eastAsia"/>
                <w:lang w:val="en-US"/>
              </w:rPr>
            </w:pPr>
            <w:r>
              <w:rPr>
                <w:rFonts w:ascii="Calibri" w:hAnsi="Calibri"/>
                <w:color w:val="FF0000"/>
                <w:lang w:val="en-US"/>
              </w:rPr>
              <w:t>Thanks for your flexibility. I think your clarifications are good. I will use them in the proposal.</w:t>
            </w:r>
          </w:p>
        </w:tc>
      </w:tr>
    </w:tbl>
    <w:p w14:paraId="46F9A3C8" w14:textId="77777777" w:rsidR="006B24EB" w:rsidRDefault="006B24EB" w:rsidP="006B24EB">
      <w:pPr>
        <w:spacing w:after="0" w:line="240" w:lineRule="auto"/>
        <w:ind w:right="300"/>
        <w:rPr>
          <w:lang w:val="en-US"/>
        </w:rPr>
      </w:pPr>
    </w:p>
    <w:p w14:paraId="720D091E" w14:textId="77777777" w:rsidR="006B24EB" w:rsidRDefault="006B24EB" w:rsidP="006B24EB">
      <w:pPr>
        <w:pStyle w:val="Heading3"/>
        <w:rPr>
          <w:rFonts w:ascii="Calibri" w:hAnsi="Calibri" w:cs="Calibri"/>
        </w:rPr>
      </w:pPr>
      <w:r>
        <w:t>Q2: For configured grant, how to determine the HARQ process ID for a configured grant, the related working assumption, and including potential RRC parameters.</w:t>
      </w:r>
    </w:p>
    <w:tbl>
      <w:tblPr>
        <w:tblW w:w="0" w:type="auto"/>
        <w:tblCellMar>
          <w:left w:w="0" w:type="dxa"/>
          <w:right w:w="0" w:type="dxa"/>
        </w:tblCellMar>
        <w:tblLook w:val="04A0" w:firstRow="1" w:lastRow="0" w:firstColumn="1" w:lastColumn="0" w:noHBand="0" w:noVBand="1"/>
      </w:tblPr>
      <w:tblGrid>
        <w:gridCol w:w="1384"/>
        <w:gridCol w:w="8235"/>
      </w:tblGrid>
      <w:tr w:rsidR="006B24EB" w14:paraId="15AC09DF" w14:textId="77777777" w:rsidTr="006B24EB">
        <w:tc>
          <w:tcPr>
            <w:tcW w:w="1637"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7DF6111" w14:textId="77777777" w:rsidR="006B24EB" w:rsidRDefault="006B24EB">
            <w:pPr>
              <w:spacing w:before="100" w:beforeAutospacing="1" w:after="100" w:afterAutospacing="1"/>
              <w:jc w:val="center"/>
              <w:rPr>
                <w:rFonts w:ascii="Gulim" w:eastAsia="Gulim" w:hAnsi="Gulim" w:cs="Calibri"/>
                <w:sz w:val="24"/>
                <w:szCs w:val="24"/>
                <w:lang w:val="en-US" w:eastAsia="fi-FI"/>
              </w:rPr>
            </w:pPr>
            <w:r>
              <w:rPr>
                <w:rFonts w:hint="eastAsia"/>
                <w:b/>
                <w:bCs/>
                <w:lang w:val="en-US"/>
              </w:rPr>
              <w:t>Company</w:t>
            </w:r>
          </w:p>
        </w:tc>
        <w:tc>
          <w:tcPr>
            <w:tcW w:w="1428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F9BC39B" w14:textId="77777777" w:rsidR="006B24EB" w:rsidRDefault="006B24EB">
            <w:pPr>
              <w:spacing w:before="100" w:beforeAutospacing="1" w:after="100" w:afterAutospacing="1"/>
              <w:jc w:val="center"/>
              <w:rPr>
                <w:rFonts w:hint="eastAsia"/>
                <w:lang w:val="en-US"/>
              </w:rPr>
            </w:pPr>
            <w:r>
              <w:rPr>
                <w:rFonts w:hint="eastAsia"/>
                <w:b/>
                <w:bCs/>
                <w:color w:val="000000"/>
                <w:lang w:val="en-US"/>
              </w:rPr>
              <w:t>View</w:t>
            </w:r>
          </w:p>
        </w:tc>
      </w:tr>
      <w:tr w:rsidR="006B24EB" w14:paraId="610F605E" w14:textId="77777777" w:rsidTr="006B24EB">
        <w:tc>
          <w:tcPr>
            <w:tcW w:w="1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36D88" w14:textId="77777777" w:rsidR="006B24EB" w:rsidRDefault="006B24EB">
            <w:pPr>
              <w:spacing w:before="100" w:beforeAutospacing="1" w:after="100" w:afterAutospacing="1"/>
              <w:rPr>
                <w:rFonts w:hint="eastAsia"/>
                <w:lang w:val="en-US"/>
              </w:rPr>
            </w:pPr>
            <w:r>
              <w:rPr>
                <w:rFonts w:hint="eastAsia"/>
                <w:lang w:val="en-US"/>
              </w:rPr>
              <w:t>NTT DOCOMO</w:t>
            </w:r>
          </w:p>
        </w:tc>
        <w:tc>
          <w:tcPr>
            <w:tcW w:w="14285" w:type="dxa"/>
            <w:tcBorders>
              <w:top w:val="nil"/>
              <w:left w:val="nil"/>
              <w:bottom w:val="single" w:sz="8" w:space="0" w:color="auto"/>
              <w:right w:val="single" w:sz="8" w:space="0" w:color="auto"/>
            </w:tcBorders>
            <w:tcMar>
              <w:top w:w="0" w:type="dxa"/>
              <w:left w:w="108" w:type="dxa"/>
              <w:bottom w:w="0" w:type="dxa"/>
              <w:right w:w="108" w:type="dxa"/>
            </w:tcMar>
            <w:hideMark/>
          </w:tcPr>
          <w:p w14:paraId="128DB2C1" w14:textId="77777777" w:rsidR="006B24EB" w:rsidRDefault="006B24EB">
            <w:pPr>
              <w:spacing w:before="100" w:beforeAutospacing="1" w:after="100" w:afterAutospacing="1"/>
              <w:rPr>
                <w:rFonts w:hint="eastAsia"/>
                <w:lang w:val="en-US"/>
              </w:rPr>
            </w:pPr>
            <w:r>
              <w:rPr>
                <w:rFonts w:hint="eastAsia"/>
                <w:lang w:val="en-US"/>
              </w:rPr>
              <w:t>OK</w:t>
            </w:r>
          </w:p>
        </w:tc>
      </w:tr>
      <w:tr w:rsidR="006B24EB" w14:paraId="7EB02B3D" w14:textId="77777777" w:rsidTr="006B24EB">
        <w:tc>
          <w:tcPr>
            <w:tcW w:w="1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0D037" w14:textId="77777777" w:rsidR="006B24EB" w:rsidRDefault="006B24EB">
            <w:pPr>
              <w:spacing w:before="100" w:beforeAutospacing="1" w:after="100" w:afterAutospacing="1"/>
              <w:rPr>
                <w:rFonts w:hint="eastAsia"/>
                <w:lang w:val="en-US"/>
              </w:rPr>
            </w:pPr>
            <w:r>
              <w:rPr>
                <w:rFonts w:hint="eastAsia"/>
                <w:lang w:val="en-US"/>
              </w:rPr>
              <w:t>OPPO</w:t>
            </w:r>
          </w:p>
        </w:tc>
        <w:tc>
          <w:tcPr>
            <w:tcW w:w="14285" w:type="dxa"/>
            <w:tcBorders>
              <w:top w:val="nil"/>
              <w:left w:val="nil"/>
              <w:bottom w:val="single" w:sz="8" w:space="0" w:color="auto"/>
              <w:right w:val="single" w:sz="8" w:space="0" w:color="auto"/>
            </w:tcBorders>
            <w:tcMar>
              <w:top w:w="0" w:type="dxa"/>
              <w:left w:w="108" w:type="dxa"/>
              <w:bottom w:w="0" w:type="dxa"/>
              <w:right w:w="108" w:type="dxa"/>
            </w:tcMar>
            <w:hideMark/>
          </w:tcPr>
          <w:p w14:paraId="22708E32" w14:textId="77777777" w:rsidR="006B24EB" w:rsidRDefault="006B24EB">
            <w:pPr>
              <w:spacing w:before="100" w:beforeAutospacing="1" w:after="100" w:afterAutospacing="1"/>
              <w:rPr>
                <w:rFonts w:hint="eastAsia"/>
                <w:lang w:val="en-US"/>
              </w:rPr>
            </w:pPr>
            <w:r>
              <w:rPr>
                <w:rFonts w:hint="eastAsia"/>
                <w:color w:val="1F497D"/>
                <w:lang w:val="en-US"/>
              </w:rPr>
              <w:t>Support the proposal. The parameters in the formula should be modified</w:t>
            </w:r>
          </w:p>
          <w:p w14:paraId="530BE131" w14:textId="77777777" w:rsidR="006B24EB" w:rsidRDefault="006B24EB">
            <w:pPr>
              <w:spacing w:before="100" w:beforeAutospacing="1" w:after="100" w:afterAutospacing="1"/>
              <w:rPr>
                <w:rFonts w:hint="eastAsia"/>
                <w:lang w:val="en-US"/>
              </w:rPr>
            </w:pPr>
            <w:r>
              <w:rPr>
                <w:rFonts w:hint="eastAsia"/>
                <w:color w:val="1F497D"/>
                <w:lang w:val="en-US"/>
              </w:rPr>
              <w:t>.</w:t>
            </w:r>
          </w:p>
          <w:p w14:paraId="09CAE427" w14:textId="77777777" w:rsidR="006B24EB" w:rsidRDefault="006B24EB">
            <w:pPr>
              <w:spacing w:before="100" w:beforeAutospacing="1" w:after="100" w:afterAutospacing="1"/>
              <w:rPr>
                <w:rFonts w:hint="eastAsia"/>
                <w:lang w:val="en-US"/>
              </w:rPr>
            </w:pPr>
            <w:r>
              <w:rPr>
                <w:rFonts w:hint="eastAsia"/>
                <w:color w:val="1F497D"/>
                <w:lang w:val="en-US"/>
              </w:rPr>
              <w:t>According to the 38321, the HARQ process ID of UL CG is determined by:</w:t>
            </w:r>
            <w:r>
              <w:rPr>
                <w:rFonts w:ascii="MS PGothic" w:eastAsia="MS PGothic" w:hAnsi="MS PGothic" w:hint="eastAsia"/>
                <w:color w:val="1F497D"/>
                <w:lang w:val="en-US"/>
              </w:rPr>
              <w:t> </w:t>
            </w:r>
            <w:r>
              <w:rPr>
                <w:rFonts w:hint="eastAsia"/>
                <w:color w:val="1F497D"/>
                <w:shd w:val="clear" w:color="auto" w:fill="FFFF00"/>
                <w:lang w:val="en-US"/>
              </w:rPr>
              <w:t>HARQ Process ID = [floor(CURRENT_symbol/periodicity)] modulo nrofHARQ-Processes</w:t>
            </w:r>
          </w:p>
          <w:p w14:paraId="479F6D5B" w14:textId="77777777" w:rsidR="006B24EB" w:rsidRDefault="006B24EB">
            <w:pPr>
              <w:spacing w:before="100" w:beforeAutospacing="1" w:after="100" w:afterAutospacing="1"/>
              <w:rPr>
                <w:rFonts w:hint="eastAsia"/>
                <w:lang w:val="en-US"/>
              </w:rPr>
            </w:pPr>
            <w:r>
              <w:rPr>
                <w:rFonts w:hint="eastAsia"/>
                <w:color w:val="1F497D"/>
                <w:lang w:val="en-US"/>
              </w:rPr>
              <w:t>If it is applied to SL, some modification is needed:</w:t>
            </w:r>
          </w:p>
          <w:p w14:paraId="4A3316F2" w14:textId="77777777" w:rsidR="006B24EB" w:rsidRDefault="006B24EB">
            <w:pPr>
              <w:spacing w:before="100" w:beforeAutospacing="1" w:after="100" w:afterAutospacing="1"/>
              <w:rPr>
                <w:rFonts w:hint="eastAsia"/>
                <w:lang w:val="en-US"/>
              </w:rPr>
            </w:pPr>
            <w:r>
              <w:rPr>
                <w:rFonts w:hint="eastAsia"/>
                <w:color w:val="1F497D"/>
                <w:lang w:val="en-US"/>
              </w:rPr>
              <w:t>Firstly, the granularity of SL is based on slot.</w:t>
            </w:r>
            <w:r>
              <w:rPr>
                <w:rFonts w:ascii="MS PGothic" w:eastAsia="MS PGothic" w:hAnsi="MS PGothic" w:hint="eastAsia"/>
                <w:color w:val="1F497D"/>
                <w:lang w:val="en-US"/>
              </w:rPr>
              <w:t> </w:t>
            </w:r>
            <w:r>
              <w:rPr>
                <w:rFonts w:hint="eastAsia"/>
                <w:color w:val="1F497D"/>
                <w:shd w:val="clear" w:color="auto" w:fill="FFFF00"/>
                <w:lang w:val="en-US"/>
              </w:rPr>
              <w:t>CURRENT_symbol should be replaced by CURRENT_slot</w:t>
            </w:r>
            <w:r>
              <w:rPr>
                <w:rFonts w:hint="eastAsia"/>
                <w:color w:val="1F497D"/>
                <w:lang w:val="en-US"/>
              </w:rPr>
              <w:t>.</w:t>
            </w:r>
          </w:p>
          <w:p w14:paraId="2504286B" w14:textId="77777777" w:rsidR="006B24EB" w:rsidRDefault="006B24EB">
            <w:pPr>
              <w:spacing w:before="100" w:beforeAutospacing="1" w:after="100" w:afterAutospacing="1"/>
              <w:rPr>
                <w:rFonts w:hint="eastAsia"/>
                <w:lang w:val="en-US"/>
              </w:rPr>
            </w:pPr>
            <w:r>
              <w:rPr>
                <w:rFonts w:hint="eastAsia"/>
                <w:color w:val="1F497D"/>
                <w:lang w:val="en-US"/>
              </w:rPr>
              <w:t>Secondly, the parameter of</w:t>
            </w:r>
            <w:r>
              <w:rPr>
                <w:rFonts w:ascii="MS PGothic" w:eastAsia="MS PGothic" w:hAnsi="MS PGothic" w:hint="eastAsia"/>
                <w:color w:val="1F497D"/>
                <w:lang w:val="en-US"/>
              </w:rPr>
              <w:t> </w:t>
            </w:r>
            <w:r>
              <w:rPr>
                <w:rFonts w:hint="eastAsia"/>
                <w:color w:val="1F497D"/>
                <w:shd w:val="clear" w:color="auto" w:fill="FFFF00"/>
                <w:lang w:val="en-US"/>
              </w:rPr>
              <w:t>periodicity should be based on the number of logical slots within the resource pool</w:t>
            </w:r>
            <w:r>
              <w:rPr>
                <w:rFonts w:ascii="MS PGothic" w:eastAsia="MS PGothic" w:hAnsi="MS PGothic" w:hint="eastAsia"/>
                <w:color w:val="1F497D"/>
                <w:lang w:val="en-US"/>
              </w:rPr>
              <w:t> </w:t>
            </w:r>
            <w:r>
              <w:rPr>
                <w:rFonts w:hint="eastAsia"/>
                <w:color w:val="1F497D"/>
                <w:lang w:val="en-US"/>
              </w:rPr>
              <w:t>that the SL CG is associated to; and also the parameter CURRENT_slot is the slot index of configured grant resources within the resource pool.</w:t>
            </w:r>
            <w:r>
              <w:rPr>
                <w:rFonts w:ascii="MS PGothic" w:eastAsia="MS PGothic" w:hAnsi="MS PGothic" w:hint="eastAsia"/>
                <w:color w:val="1F497D"/>
                <w:lang w:val="en-US"/>
              </w:rPr>
              <w:t> </w:t>
            </w:r>
          </w:p>
          <w:p w14:paraId="2B8F56EE" w14:textId="77777777" w:rsidR="006B24EB" w:rsidRDefault="006B24EB">
            <w:pPr>
              <w:spacing w:before="100" w:beforeAutospacing="1" w:after="100" w:afterAutospacing="1"/>
              <w:rPr>
                <w:rFonts w:hint="eastAsia"/>
                <w:lang w:val="en-US"/>
              </w:rPr>
            </w:pPr>
            <w:r>
              <w:rPr>
                <w:rFonts w:ascii="MS PGothic" w:eastAsia="MS PGothic" w:hAnsi="MS PGothic" w:hint="eastAsia"/>
                <w:color w:val="1F497D"/>
                <w:lang w:val="en-US"/>
              </w:rPr>
              <w:t> </w:t>
            </w:r>
          </w:p>
          <w:p w14:paraId="3506BBEF" w14:textId="77777777" w:rsidR="006B24EB" w:rsidRDefault="006B24EB">
            <w:pPr>
              <w:spacing w:before="100" w:beforeAutospacing="1" w:after="100" w:afterAutospacing="1"/>
              <w:rPr>
                <w:rFonts w:hint="eastAsia"/>
                <w:lang w:val="en-US"/>
              </w:rPr>
            </w:pPr>
            <w:r>
              <w:rPr>
                <w:rFonts w:hint="eastAsia"/>
                <w:color w:val="1F497D"/>
                <w:lang w:val="en-US"/>
              </w:rPr>
              <w:t>If the parameters are based on number of physical slot, that will cause unequal number of SL slot per CG period. One example is shown below. The first row is based on physical slot, the third row is based on logical slots within the resource pool. The available resources within a resource pool is after excluding the S-SSB slot, reserved slot, etc, and the corresponding bit in the bitmap is set to 1. The CG periodicity is set to 3 slots. If it is based on</w:t>
            </w:r>
            <w:r>
              <w:rPr>
                <w:rFonts w:ascii="MS PGothic" w:eastAsia="MS PGothic" w:hAnsi="MS PGothic" w:hint="eastAsia"/>
                <w:color w:val="1F497D"/>
                <w:lang w:val="en-US"/>
              </w:rPr>
              <w:t> </w:t>
            </w:r>
            <w:r>
              <w:rPr>
                <w:rFonts w:hint="eastAsia"/>
                <w:color w:val="1F497D"/>
                <w:lang w:val="en-US"/>
              </w:rPr>
              <w:t xml:space="preserve"> physical slots, some of the CG periods do not have any SL slot. That should be avoided. Only the periodicity is based on logical slots within the resource pool, each CG period can have the same number of SL CG resources.</w:t>
            </w:r>
          </w:p>
          <w:p w14:paraId="5E6480A3" w14:textId="77777777" w:rsidR="006B24EB" w:rsidRDefault="006B24EB">
            <w:pPr>
              <w:spacing w:before="100" w:beforeAutospacing="1" w:after="100" w:afterAutospacing="1"/>
              <w:rPr>
                <w:rFonts w:hint="eastAsia"/>
                <w:lang w:val="en-US"/>
              </w:rPr>
            </w:pPr>
            <w:r>
              <w:rPr>
                <w:rFonts w:ascii="MS PGothic" w:eastAsia="MS PGothic" w:hAnsi="MS PGothic" w:hint="eastAsia"/>
                <w:color w:val="1F497D"/>
                <w:lang w:val="en-US"/>
              </w:rPr>
              <w:t> </w:t>
            </w:r>
          </w:p>
          <w:p w14:paraId="50A7CBA0" w14:textId="77777777" w:rsidR="006B24EB" w:rsidRDefault="006B24EB">
            <w:pPr>
              <w:spacing w:before="100" w:beforeAutospacing="1" w:after="100" w:afterAutospacing="1"/>
              <w:rPr>
                <w:rFonts w:hint="eastAsia"/>
                <w:lang w:val="en-US"/>
              </w:rPr>
            </w:pPr>
            <w:r>
              <w:rPr>
                <w:rFonts w:hint="eastAsia"/>
                <w:b/>
                <w:bCs/>
                <w:color w:val="FF0000"/>
                <w:lang w:val="en-US"/>
              </w:rPr>
              <w:t>FL reply:</w:t>
            </w:r>
          </w:p>
          <w:p w14:paraId="503B8DDE" w14:textId="77777777" w:rsidR="006B24EB" w:rsidRDefault="006B24EB">
            <w:pPr>
              <w:spacing w:before="100" w:beforeAutospacing="1" w:after="100" w:afterAutospacing="1"/>
              <w:rPr>
                <w:rFonts w:hint="eastAsia"/>
                <w:lang w:val="en-US"/>
              </w:rPr>
            </w:pPr>
            <w:r>
              <w:rPr>
                <w:rFonts w:ascii="MS PGothic" w:eastAsia="MS PGothic" w:hAnsi="MS PGothic" w:hint="eastAsia"/>
                <w:color w:val="FF0000"/>
                <w:lang w:val="en-US"/>
              </w:rPr>
              <w:t> </w:t>
            </w:r>
          </w:p>
          <w:p w14:paraId="17BE6833" w14:textId="77777777" w:rsidR="006B24EB" w:rsidRDefault="006B24EB">
            <w:pPr>
              <w:spacing w:before="100" w:beforeAutospacing="1" w:after="100" w:afterAutospacing="1"/>
              <w:rPr>
                <w:rFonts w:hint="eastAsia"/>
                <w:lang w:val="en-US"/>
              </w:rPr>
            </w:pPr>
            <w:r>
              <w:rPr>
                <w:rFonts w:hint="eastAsia"/>
                <w:color w:val="FF0000"/>
                <w:lang w:val="en-US"/>
              </w:rPr>
              <w:t>As stated in the note, let</w:t>
            </w:r>
            <w:r>
              <w:rPr>
                <w:rFonts w:hint="eastAsia"/>
                <w:color w:val="FF0000"/>
              </w:rPr>
              <w:t>’</w:t>
            </w:r>
            <w:r>
              <w:rPr>
                <w:rFonts w:hint="eastAsia"/>
                <w:color w:val="FF0000"/>
                <w:lang w:val="en-US"/>
              </w:rPr>
              <w:t>s first check that this is agreeable.</w:t>
            </w:r>
          </w:p>
        </w:tc>
      </w:tr>
      <w:tr w:rsidR="006B24EB" w14:paraId="343BD55F" w14:textId="77777777" w:rsidTr="006B24EB">
        <w:tc>
          <w:tcPr>
            <w:tcW w:w="1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7C4A3" w14:textId="77777777" w:rsidR="006B24EB" w:rsidRDefault="006B24EB">
            <w:pPr>
              <w:spacing w:before="100" w:beforeAutospacing="1" w:after="100" w:afterAutospacing="1"/>
              <w:rPr>
                <w:rFonts w:hint="eastAsia"/>
                <w:lang w:val="en-US"/>
              </w:rPr>
            </w:pPr>
            <w:r>
              <w:rPr>
                <w:rFonts w:hint="eastAsia"/>
                <w:color w:val="7030A0"/>
                <w:lang w:val="en-US"/>
              </w:rPr>
              <w:t>vivo</w:t>
            </w:r>
          </w:p>
        </w:tc>
        <w:tc>
          <w:tcPr>
            <w:tcW w:w="14285" w:type="dxa"/>
            <w:tcBorders>
              <w:top w:val="nil"/>
              <w:left w:val="nil"/>
              <w:bottom w:val="single" w:sz="8" w:space="0" w:color="auto"/>
              <w:right w:val="single" w:sz="8" w:space="0" w:color="auto"/>
            </w:tcBorders>
            <w:tcMar>
              <w:top w:w="0" w:type="dxa"/>
              <w:left w:w="108" w:type="dxa"/>
              <w:bottom w:w="0" w:type="dxa"/>
              <w:right w:w="108" w:type="dxa"/>
            </w:tcMar>
            <w:hideMark/>
          </w:tcPr>
          <w:p w14:paraId="58BF7642" w14:textId="77777777" w:rsidR="006B24EB" w:rsidRDefault="006B24EB">
            <w:pPr>
              <w:spacing w:before="100" w:beforeAutospacing="1" w:after="100" w:afterAutospacing="1"/>
              <w:ind w:left="360" w:hanging="360"/>
              <w:rPr>
                <w:rFonts w:hint="eastAsia"/>
                <w:lang w:val="en-US"/>
              </w:rPr>
            </w:pPr>
            <w:r>
              <w:rPr>
                <w:rFonts w:hint="eastAsia"/>
                <w:color w:val="7030A0"/>
                <w:sz w:val="20"/>
                <w:szCs w:val="20"/>
                <w:lang w:val="en-US"/>
              </w:rPr>
              <w:t>1.</w:t>
            </w:r>
            <w:r>
              <w:rPr>
                <w:rFonts w:ascii="MS PGothic" w:eastAsia="MS PGothic" w:hAnsi="MS PGothic" w:hint="eastAsia"/>
                <w:color w:val="7030A0"/>
                <w:sz w:val="14"/>
                <w:szCs w:val="14"/>
                <w:lang w:val="en-US"/>
              </w:rPr>
              <w:t>       </w:t>
            </w:r>
            <w:r>
              <w:rPr>
                <w:rFonts w:hint="eastAsia"/>
                <w:color w:val="7030A0"/>
                <w:sz w:val="20"/>
                <w:szCs w:val="20"/>
                <w:lang w:val="en-US"/>
              </w:rPr>
              <w:t>For clarification, I assume that for a SL CG, the HPN in RRC and the HPN in SCI can also be different and it is up to TX UE to realize the mapping, it this understanding correct?</w:t>
            </w:r>
            <w:r>
              <w:rPr>
                <w:rFonts w:ascii="MS PGothic" w:eastAsia="MS PGothic" w:hAnsi="MS PGothic" w:hint="eastAsia"/>
                <w:color w:val="7030A0"/>
                <w:sz w:val="20"/>
                <w:szCs w:val="20"/>
                <w:lang w:val="en-US"/>
              </w:rPr>
              <w:t> </w:t>
            </w:r>
          </w:p>
          <w:p w14:paraId="4428A209" w14:textId="77777777" w:rsidR="006B24EB" w:rsidRDefault="006B24EB">
            <w:pPr>
              <w:spacing w:before="100" w:beforeAutospacing="1" w:after="100" w:afterAutospacing="1"/>
              <w:rPr>
                <w:rFonts w:hint="eastAsia"/>
                <w:lang w:val="en-US"/>
              </w:rPr>
            </w:pPr>
            <w:r>
              <w:rPr>
                <w:rFonts w:hint="eastAsia"/>
                <w:color w:val="7030A0"/>
                <w:sz w:val="20"/>
                <w:szCs w:val="20"/>
                <w:lang w:val="en-US"/>
              </w:rPr>
              <w:t>It is preferred to handle CG in a way similar to DG to keep it simple, and we would like to add a sub-bullet as below:</w:t>
            </w:r>
          </w:p>
          <w:p w14:paraId="65DD07DD" w14:textId="77777777" w:rsidR="006B24EB" w:rsidRDefault="006B24EB">
            <w:pPr>
              <w:spacing w:before="100" w:beforeAutospacing="1" w:after="100" w:afterAutospacing="1"/>
              <w:ind w:right="300"/>
              <w:rPr>
                <w:rFonts w:hint="eastAsia"/>
                <w:lang w:val="en-US"/>
              </w:rPr>
            </w:pPr>
            <w:r>
              <w:rPr>
                <w:rFonts w:hint="eastAsia"/>
                <w:b/>
                <w:bCs/>
                <w:color w:val="7030A0"/>
                <w:sz w:val="20"/>
                <w:szCs w:val="20"/>
                <w:shd w:val="clear" w:color="auto" w:fill="FFFF00"/>
                <w:lang w:val="en-US"/>
              </w:rPr>
              <w:t>Proposal:</w:t>
            </w:r>
            <w:r>
              <w:rPr>
                <w:rFonts w:ascii="MS PGothic" w:eastAsia="MS PGothic" w:hAnsi="MS PGothic" w:hint="eastAsia"/>
                <w:b/>
                <w:bCs/>
                <w:color w:val="7030A0"/>
                <w:sz w:val="20"/>
                <w:szCs w:val="20"/>
                <w:lang w:val="en-US"/>
              </w:rPr>
              <w:t> </w:t>
            </w:r>
            <w:r>
              <w:rPr>
                <w:rFonts w:hint="eastAsia"/>
                <w:color w:val="7030A0"/>
                <w:sz w:val="20"/>
                <w:szCs w:val="20"/>
                <w:lang w:val="en-US"/>
              </w:rPr>
              <w:t>The HARQ process ID for each transmission in a resource corresponding to a SL configured grant is determined based on the formula used for UL configured grants.</w:t>
            </w:r>
          </w:p>
          <w:p w14:paraId="6B8385E5" w14:textId="77777777" w:rsidR="006B24EB" w:rsidRDefault="006B24EB">
            <w:pPr>
              <w:spacing w:before="100" w:beforeAutospacing="1" w:after="100" w:afterAutospacing="1"/>
              <w:rPr>
                <w:rFonts w:hint="eastAsia"/>
                <w:lang w:val="en-US"/>
              </w:rPr>
            </w:pPr>
            <w:r>
              <w:rPr>
                <w:rFonts w:hint="eastAsia"/>
                <w:color w:val="7030A0"/>
                <w:sz w:val="20"/>
                <w:szCs w:val="20"/>
              </w:rPr>
              <w:t>•</w:t>
            </w:r>
            <w:r>
              <w:rPr>
                <w:rFonts w:ascii="MS PGothic" w:eastAsia="MS PGothic" w:hAnsi="MS PGothic" w:hint="eastAsia"/>
                <w:color w:val="7030A0"/>
                <w:sz w:val="20"/>
                <w:szCs w:val="20"/>
                <w:lang w:val="en-US"/>
              </w:rPr>
              <w:t>      </w:t>
            </w:r>
            <w:r>
              <w:rPr>
                <w:rFonts w:hint="eastAsia"/>
                <w:color w:val="7030A0"/>
                <w:sz w:val="20"/>
                <w:szCs w:val="20"/>
                <w:lang w:val="en-US"/>
              </w:rPr>
              <w:t xml:space="preserve"> The relationship between the values of HPN in RRC configuration and in SCI is fixed for a TB but is otherwise left up to UE implementation.</w:t>
            </w:r>
          </w:p>
          <w:p w14:paraId="2FB48F83" w14:textId="77777777" w:rsidR="006B24EB" w:rsidRDefault="006B24EB">
            <w:pPr>
              <w:spacing w:before="100" w:beforeAutospacing="1" w:after="100" w:afterAutospacing="1"/>
              <w:ind w:left="360" w:hanging="360"/>
              <w:rPr>
                <w:rFonts w:hint="eastAsia"/>
                <w:lang w:val="en-US"/>
              </w:rPr>
            </w:pPr>
            <w:r>
              <w:rPr>
                <w:rFonts w:hint="eastAsia"/>
                <w:color w:val="7030A0"/>
                <w:sz w:val="20"/>
                <w:szCs w:val="20"/>
                <w:lang w:val="en-US"/>
              </w:rPr>
              <w:t>2.</w:t>
            </w:r>
            <w:r>
              <w:rPr>
                <w:rFonts w:ascii="MS PGothic" w:eastAsia="MS PGothic" w:hAnsi="MS PGothic" w:hint="eastAsia"/>
                <w:color w:val="7030A0"/>
                <w:sz w:val="14"/>
                <w:szCs w:val="14"/>
                <w:lang w:val="en-US"/>
              </w:rPr>
              <w:t>       </w:t>
            </w:r>
            <w:r>
              <w:rPr>
                <w:rFonts w:hint="eastAsia"/>
                <w:color w:val="7030A0"/>
                <w:sz w:val="20"/>
                <w:szCs w:val="20"/>
                <w:lang w:val="en-US"/>
              </w:rPr>
              <w:t>Regarding the definition of SL CG resources, we prefer to define the SL CG in physical units. If the SL CG is defined based on logical units, the interval between transmission occasions may be different thus it may fail to meet the time budget. Moreover, since both SL CG and resource pool are configured by gNB, gNB can avoid the case mentioned by DOCOMO. And the nrofHARQ-Processes should be fixed as 1 for each SL CG,</w:t>
            </w:r>
            <w:r>
              <w:rPr>
                <w:rFonts w:ascii="MS PGothic" w:eastAsia="MS PGothic" w:hAnsi="MS PGothic" w:hint="eastAsia"/>
                <w:color w:val="7030A0"/>
                <w:sz w:val="20"/>
                <w:szCs w:val="20"/>
                <w:lang w:val="en-US"/>
              </w:rPr>
              <w:t> </w:t>
            </w:r>
            <w:r>
              <w:rPr>
                <w:rFonts w:hint="eastAsia"/>
                <w:color w:val="FF0000"/>
                <w:sz w:val="20"/>
                <w:szCs w:val="20"/>
                <w:lang w:val="en-US"/>
              </w:rPr>
              <w:t>there is no</w:t>
            </w:r>
            <w:r>
              <w:rPr>
                <w:rFonts w:ascii="MS PGothic" w:eastAsia="MS PGothic" w:hAnsi="MS PGothic" w:hint="eastAsia"/>
                <w:color w:val="FF0000"/>
                <w:sz w:val="20"/>
                <w:szCs w:val="20"/>
                <w:lang w:val="en-US"/>
              </w:rPr>
              <w:t> </w:t>
            </w:r>
            <w:r>
              <w:rPr>
                <w:rFonts w:hint="eastAsia"/>
                <w:color w:val="7030A0"/>
                <w:sz w:val="20"/>
                <w:szCs w:val="20"/>
                <w:lang w:val="en-US"/>
              </w:rPr>
              <w:t>need to introduce HARQ ID offset</w:t>
            </w:r>
            <w:r>
              <w:rPr>
                <w:rFonts w:ascii="MS PGothic" w:eastAsia="MS PGothic" w:hAnsi="MS PGothic" w:hint="eastAsia"/>
                <w:sz w:val="20"/>
                <w:szCs w:val="20"/>
                <w:lang w:val="en-US"/>
              </w:rPr>
              <w:t> </w:t>
            </w:r>
            <w:r>
              <w:rPr>
                <w:rFonts w:hint="eastAsia"/>
                <w:color w:val="FF0000"/>
                <w:sz w:val="20"/>
                <w:szCs w:val="20"/>
                <w:lang w:val="en-US"/>
              </w:rPr>
              <w:t>when</w:t>
            </w:r>
            <w:r>
              <w:rPr>
                <w:rFonts w:ascii="MS PGothic" w:eastAsia="MS PGothic" w:hAnsi="MS PGothic" w:hint="eastAsia"/>
                <w:color w:val="7030A0"/>
                <w:sz w:val="20"/>
                <w:szCs w:val="20"/>
                <w:lang w:val="en-US"/>
              </w:rPr>
              <w:t> </w:t>
            </w:r>
            <w:r>
              <w:rPr>
                <w:rFonts w:hint="eastAsia"/>
                <w:color w:val="7030A0"/>
                <w:sz w:val="20"/>
                <w:szCs w:val="20"/>
                <w:lang w:val="en-US"/>
              </w:rPr>
              <w:t>multiple SL CG are configured.</w:t>
            </w:r>
          </w:p>
          <w:p w14:paraId="3CF26F07" w14:textId="77777777" w:rsidR="006B24EB" w:rsidRDefault="006B24EB">
            <w:pPr>
              <w:spacing w:before="100" w:beforeAutospacing="1" w:after="100" w:afterAutospacing="1"/>
              <w:rPr>
                <w:rFonts w:hint="eastAsia"/>
                <w:lang w:val="en-US"/>
              </w:rPr>
            </w:pPr>
            <w:r>
              <w:rPr>
                <w:rFonts w:hint="eastAsia"/>
                <w:b/>
                <w:bCs/>
                <w:color w:val="FF0000"/>
                <w:lang w:val="en-US"/>
              </w:rPr>
              <w:t>FL reply:</w:t>
            </w:r>
          </w:p>
          <w:p w14:paraId="3B9A4299" w14:textId="77777777" w:rsidR="006B24EB" w:rsidRDefault="006B24EB">
            <w:pPr>
              <w:spacing w:before="100" w:beforeAutospacing="1" w:after="100" w:afterAutospacing="1"/>
              <w:rPr>
                <w:rFonts w:hint="eastAsia"/>
                <w:lang w:val="en-US"/>
              </w:rPr>
            </w:pPr>
            <w:r>
              <w:rPr>
                <w:rFonts w:hint="eastAsia"/>
                <w:color w:val="FF0000"/>
                <w:lang w:val="en-US"/>
              </w:rPr>
              <w:t>For 1. I have the same understanding as you. To me it is a consequence of the positions for Q1. I have added the bullet.</w:t>
            </w:r>
          </w:p>
          <w:p w14:paraId="27F9C65E" w14:textId="77777777" w:rsidR="006B24EB" w:rsidRDefault="006B24EB">
            <w:pPr>
              <w:spacing w:before="100" w:beforeAutospacing="1" w:after="100" w:afterAutospacing="1"/>
              <w:rPr>
                <w:rFonts w:hint="eastAsia"/>
                <w:lang w:val="en-US"/>
              </w:rPr>
            </w:pPr>
            <w:r>
              <w:rPr>
                <w:rFonts w:hint="eastAsia"/>
                <w:color w:val="FF0000"/>
                <w:lang w:val="en-US"/>
              </w:rPr>
              <w:t>For 2. I suggest discussing this as part of the TP.</w:t>
            </w:r>
          </w:p>
        </w:tc>
      </w:tr>
      <w:tr w:rsidR="006B24EB" w14:paraId="519E4A85" w14:textId="77777777" w:rsidTr="006B24EB">
        <w:tc>
          <w:tcPr>
            <w:tcW w:w="1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57374" w14:textId="77777777" w:rsidR="006B24EB" w:rsidRDefault="006B24EB">
            <w:pPr>
              <w:spacing w:before="100" w:beforeAutospacing="1" w:after="100" w:afterAutospacing="1"/>
              <w:rPr>
                <w:rFonts w:hint="eastAsia"/>
                <w:lang w:val="en-US"/>
              </w:rPr>
            </w:pPr>
            <w:r>
              <w:rPr>
                <w:rFonts w:hint="eastAsia"/>
                <w:lang w:val="en-US"/>
              </w:rPr>
              <w:t>Apple</w:t>
            </w:r>
          </w:p>
        </w:tc>
        <w:tc>
          <w:tcPr>
            <w:tcW w:w="14285" w:type="dxa"/>
            <w:tcBorders>
              <w:top w:val="nil"/>
              <w:left w:val="nil"/>
              <w:bottom w:val="single" w:sz="8" w:space="0" w:color="auto"/>
              <w:right w:val="single" w:sz="8" w:space="0" w:color="auto"/>
            </w:tcBorders>
            <w:tcMar>
              <w:top w:w="0" w:type="dxa"/>
              <w:left w:w="108" w:type="dxa"/>
              <w:bottom w:w="0" w:type="dxa"/>
              <w:right w:w="108" w:type="dxa"/>
            </w:tcMar>
          </w:tcPr>
          <w:p w14:paraId="12DB1018" w14:textId="77777777" w:rsidR="006B24EB" w:rsidRDefault="006B24EB">
            <w:pPr>
              <w:spacing w:before="100" w:beforeAutospacing="1" w:after="100" w:afterAutospacing="1"/>
              <w:ind w:left="360" w:hanging="360"/>
              <w:rPr>
                <w:rFonts w:hint="eastAsia"/>
                <w:lang w:val="en-US"/>
              </w:rPr>
            </w:pPr>
            <w:r>
              <w:rPr>
                <w:rFonts w:hint="eastAsia"/>
                <w:sz w:val="20"/>
                <w:szCs w:val="20"/>
                <w:lang w:val="en-US"/>
              </w:rPr>
              <w:t>We agree with OPPO. Considering Proposal 4 is likely agreeable, it clarifies if we modify the note as follows:</w:t>
            </w:r>
          </w:p>
          <w:p w14:paraId="7905325F" w14:textId="77777777" w:rsidR="006B24EB" w:rsidRDefault="006B24EB">
            <w:pPr>
              <w:spacing w:before="100" w:beforeAutospacing="1" w:after="100" w:afterAutospacing="1"/>
              <w:rPr>
                <w:rFonts w:hint="eastAsia"/>
                <w:lang w:val="en-US"/>
              </w:rPr>
            </w:pPr>
            <w:r>
              <w:rPr>
                <w:rFonts w:hint="eastAsia"/>
                <w:u w:val="single"/>
                <w:lang w:val="en-US"/>
              </w:rPr>
              <w:t>Note</w:t>
            </w:r>
            <w:r>
              <w:rPr>
                <w:rFonts w:hint="eastAsia"/>
                <w:lang w:val="en-US"/>
              </w:rPr>
              <w:t xml:space="preserve">: if the principle itself is agreeable, we can then discuss any need for modifications </w:t>
            </w:r>
            <w:r>
              <w:rPr>
                <w:rFonts w:hint="eastAsia"/>
                <w:color w:val="FF0000"/>
                <w:lang w:val="en-US"/>
              </w:rPr>
              <w:t xml:space="preserve">(e.g., to handle multiple HARQ ID processes per SL configured grant), </w:t>
            </w:r>
            <w:r>
              <w:rPr>
                <w:rFonts w:hint="eastAsia"/>
                <w:lang w:val="en-US"/>
              </w:rPr>
              <w:t>possibly as part of the TP drafting phase.</w:t>
            </w:r>
          </w:p>
          <w:p w14:paraId="576A558E" w14:textId="77777777" w:rsidR="006B24EB" w:rsidRDefault="006B24EB">
            <w:pPr>
              <w:rPr>
                <w:rFonts w:ascii="SimSun" w:eastAsia="SimSun" w:hAnsi="SimSun" w:hint="eastAsia"/>
                <w:sz w:val="24"/>
                <w:szCs w:val="24"/>
                <w:lang w:val="en-US"/>
              </w:rPr>
            </w:pPr>
            <w:r>
              <w:rPr>
                <w:rFonts w:ascii="Calibri" w:hAnsi="Calibri"/>
                <w:b/>
                <w:bCs/>
                <w:color w:val="FF0000"/>
                <w:lang w:val="en-US"/>
              </w:rPr>
              <w:t>FL reply:</w:t>
            </w:r>
          </w:p>
          <w:p w14:paraId="256109EB" w14:textId="77777777" w:rsidR="006B24EB" w:rsidRDefault="006B24EB">
            <w:pPr>
              <w:rPr>
                <w:rFonts w:ascii="Calibri" w:eastAsia="Gulim" w:hAnsi="Calibri" w:hint="eastAsia"/>
                <w:color w:val="FF0000"/>
                <w:lang w:val="en-US"/>
              </w:rPr>
            </w:pPr>
          </w:p>
          <w:p w14:paraId="16C65457" w14:textId="77777777" w:rsidR="006B24EB" w:rsidRDefault="006B24EB">
            <w:pPr>
              <w:rPr>
                <w:rFonts w:ascii="SimSun" w:eastAsia="SimSun" w:hAnsi="SimSun"/>
                <w:sz w:val="24"/>
                <w:szCs w:val="24"/>
                <w:lang w:val="en-US"/>
              </w:rPr>
            </w:pPr>
            <w:r>
              <w:rPr>
                <w:rFonts w:ascii="Calibri" w:hAnsi="Calibri"/>
                <w:color w:val="FF0000"/>
                <w:lang w:val="en-US"/>
              </w:rPr>
              <w:t>See my reply to OPPO. Let me add that I prefer to decouple the issues as much as possible. </w:t>
            </w:r>
          </w:p>
        </w:tc>
      </w:tr>
      <w:tr w:rsidR="006B24EB" w14:paraId="773A3AAE" w14:textId="77777777" w:rsidTr="006B24EB">
        <w:tc>
          <w:tcPr>
            <w:tcW w:w="1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DC402" w14:textId="77777777" w:rsidR="006B24EB" w:rsidRDefault="006B24EB">
            <w:pPr>
              <w:rPr>
                <w:rFonts w:ascii="Calibri" w:eastAsia="Gulim" w:hAnsi="Calibri" w:hint="eastAsia"/>
                <w:lang w:val="en-US"/>
              </w:rPr>
            </w:pPr>
            <w:r>
              <w:rPr>
                <w:rFonts w:ascii="Calibri" w:hAnsi="Calibri"/>
                <w:color w:val="1F497D"/>
                <w:lang w:val="en-US"/>
              </w:rPr>
              <w:t>LG Electronics</w:t>
            </w:r>
          </w:p>
        </w:tc>
        <w:tc>
          <w:tcPr>
            <w:tcW w:w="14285" w:type="dxa"/>
            <w:tcBorders>
              <w:top w:val="nil"/>
              <w:left w:val="nil"/>
              <w:bottom w:val="single" w:sz="8" w:space="0" w:color="auto"/>
              <w:right w:val="single" w:sz="8" w:space="0" w:color="auto"/>
            </w:tcBorders>
            <w:tcMar>
              <w:top w:w="0" w:type="dxa"/>
              <w:left w:w="108" w:type="dxa"/>
              <w:bottom w:w="0" w:type="dxa"/>
              <w:right w:w="108" w:type="dxa"/>
            </w:tcMar>
          </w:tcPr>
          <w:p w14:paraId="7F754595" w14:textId="77777777" w:rsidR="006B24EB" w:rsidRDefault="006B24EB">
            <w:pPr>
              <w:rPr>
                <w:rFonts w:ascii="Calibri" w:hAnsi="Calibri"/>
                <w:color w:val="1F497D"/>
                <w:lang w:val="en-US"/>
              </w:rPr>
            </w:pPr>
            <w:r>
              <w:rPr>
                <w:rFonts w:ascii="Calibri" w:hAnsi="Calibri"/>
                <w:color w:val="1F497D"/>
                <w:lang w:val="en-US"/>
              </w:rPr>
              <w:t>We don’t understand the exact meaning of “the values of HPN configured in RRC” in the updated proposal. Does it mean “Number of HARQ processes used for a CG” or “HARQ process indices used for a CG”? In case of NR Uu, the former one is aligned.</w:t>
            </w:r>
          </w:p>
          <w:p w14:paraId="50FB628F" w14:textId="77777777" w:rsidR="006B24EB" w:rsidRDefault="006B24EB">
            <w:pPr>
              <w:rPr>
                <w:rFonts w:ascii="Malgun Gothic" w:eastAsia="Malgun Gothic" w:hAnsi="Malgun Gothic"/>
                <w:color w:val="1F497D"/>
                <w:sz w:val="20"/>
                <w:szCs w:val="20"/>
                <w:lang w:val="en-US"/>
              </w:rPr>
            </w:pPr>
          </w:p>
          <w:p w14:paraId="5700E47C" w14:textId="77777777" w:rsidR="006B24EB" w:rsidRDefault="006B24EB">
            <w:pPr>
              <w:rPr>
                <w:rFonts w:ascii="Calibri" w:eastAsia="Gulim" w:hAnsi="Calibri" w:hint="eastAsia"/>
                <w:color w:val="1F497D"/>
                <w:lang w:val="en-US"/>
              </w:rPr>
            </w:pPr>
            <w:r>
              <w:rPr>
                <w:rFonts w:ascii="Calibri" w:hAnsi="Calibri"/>
                <w:color w:val="1F497D"/>
                <w:lang w:val="en-US"/>
              </w:rPr>
              <w:t>Also when discussing this proposal, it also needs to decide together whether CG index field is defined in DG DCI used for scheduling re-TX. Considering the case where multiple CGs are simultaneously activated, we think that CG index field needs to be defined in re-TX DG DCI so that a UE can distinguish multiple re-TX DG DCIs with the same HPN/NDI for different CGs.</w:t>
            </w:r>
          </w:p>
          <w:p w14:paraId="584A4F66" w14:textId="77777777" w:rsidR="006B24EB" w:rsidRDefault="006B24EB">
            <w:pPr>
              <w:rPr>
                <w:rFonts w:ascii="Calibri" w:hAnsi="Calibri"/>
                <w:color w:val="1F497D"/>
                <w:lang w:val="en-US"/>
              </w:rPr>
            </w:pPr>
          </w:p>
          <w:p w14:paraId="35D4DA8A" w14:textId="77777777" w:rsidR="006B24EB" w:rsidRDefault="006B24EB">
            <w:pPr>
              <w:rPr>
                <w:rFonts w:ascii="SimSun" w:eastAsia="SimSun" w:hAnsi="SimSun"/>
                <w:sz w:val="24"/>
                <w:szCs w:val="24"/>
                <w:lang w:val="en-US"/>
              </w:rPr>
            </w:pPr>
            <w:r>
              <w:rPr>
                <w:rFonts w:ascii="Calibri" w:hAnsi="Calibri"/>
                <w:b/>
                <w:bCs/>
                <w:color w:val="FF0000"/>
                <w:lang w:val="en-US"/>
              </w:rPr>
              <w:t>FL reply:</w:t>
            </w:r>
          </w:p>
          <w:p w14:paraId="41D0BBD8" w14:textId="77777777" w:rsidR="006B24EB" w:rsidRDefault="006B24EB">
            <w:pPr>
              <w:rPr>
                <w:rFonts w:ascii="Calibri" w:eastAsia="Gulim" w:hAnsi="Calibri" w:hint="eastAsia"/>
                <w:color w:val="FF0000"/>
                <w:lang w:val="en-US"/>
              </w:rPr>
            </w:pPr>
          </w:p>
          <w:p w14:paraId="7FC333E4" w14:textId="77777777" w:rsidR="006B24EB" w:rsidRDefault="006B24EB">
            <w:pPr>
              <w:rPr>
                <w:rFonts w:ascii="Calibri" w:hAnsi="Calibri"/>
                <w:color w:val="FF0000"/>
                <w:lang w:val="en-US"/>
              </w:rPr>
            </w:pPr>
            <w:r>
              <w:rPr>
                <w:rFonts w:ascii="Calibri" w:hAnsi="Calibri"/>
                <w:color w:val="FF0000"/>
                <w:lang w:val="en-US"/>
              </w:rPr>
              <w:t>For the first issue, I have tried to clarify it.</w:t>
            </w:r>
          </w:p>
          <w:p w14:paraId="7EAABDA4" w14:textId="77777777" w:rsidR="006B24EB" w:rsidRDefault="006B24EB">
            <w:pPr>
              <w:rPr>
                <w:rFonts w:ascii="Calibri" w:hAnsi="Calibri"/>
                <w:color w:val="1F497D"/>
                <w:lang w:val="en-US"/>
              </w:rPr>
            </w:pPr>
            <w:r>
              <w:rPr>
                <w:rFonts w:ascii="Calibri" w:hAnsi="Calibri"/>
                <w:color w:val="FF0000"/>
                <w:lang w:val="en-US"/>
              </w:rPr>
              <w:t>For the second issue, I think the corresponding agreement was made in RAN1#99. My understanding from 38.212 is that the field is already there.</w:t>
            </w:r>
          </w:p>
        </w:tc>
      </w:tr>
    </w:tbl>
    <w:p w14:paraId="4CB4E8AA" w14:textId="77777777" w:rsidR="006B24EB" w:rsidRDefault="006B24EB" w:rsidP="006B24EB">
      <w:pPr>
        <w:spacing w:after="0" w:line="240" w:lineRule="auto"/>
        <w:ind w:right="300"/>
        <w:rPr>
          <w:lang w:val="en-US"/>
        </w:rPr>
      </w:pPr>
    </w:p>
    <w:p w14:paraId="534E95AD" w14:textId="77777777" w:rsidR="006B24EB" w:rsidRDefault="006B24EB" w:rsidP="006B24EB">
      <w:pPr>
        <w:spacing w:after="0" w:line="240" w:lineRule="auto"/>
        <w:ind w:right="300"/>
        <w:rPr>
          <w:lang w:val="en-US"/>
        </w:rPr>
      </w:pPr>
    </w:p>
    <w:p w14:paraId="08D0F879" w14:textId="77777777" w:rsidR="006B24EB" w:rsidRDefault="006B24EB" w:rsidP="006B24EB">
      <w:pPr>
        <w:pStyle w:val="Heading3"/>
        <w:rPr>
          <w:rFonts w:ascii="Calibri" w:hAnsi="Calibri" w:cs="Calibri"/>
        </w:rPr>
      </w:pPr>
      <w:r>
        <w:t>Q3: For configured grant, when a retransmission is scheduled, how to determine the corresponding TB, including potential restrictions to the number of TBs transmitted within one period.</w:t>
      </w:r>
    </w:p>
    <w:tbl>
      <w:tblPr>
        <w:tblW w:w="0" w:type="auto"/>
        <w:tblCellMar>
          <w:left w:w="0" w:type="dxa"/>
          <w:right w:w="0" w:type="dxa"/>
        </w:tblCellMar>
        <w:tblLook w:val="04A0" w:firstRow="1" w:lastRow="0" w:firstColumn="1" w:lastColumn="0" w:noHBand="0" w:noVBand="1"/>
      </w:tblPr>
      <w:tblGrid>
        <w:gridCol w:w="1339"/>
        <w:gridCol w:w="8280"/>
      </w:tblGrid>
      <w:tr w:rsidR="006B24EB" w14:paraId="31D02198" w14:textId="77777777" w:rsidTr="006B24EB">
        <w:tc>
          <w:tcPr>
            <w:tcW w:w="1547"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A160AF0" w14:textId="77777777" w:rsidR="006B24EB" w:rsidRDefault="006B24EB">
            <w:pPr>
              <w:jc w:val="center"/>
              <w:rPr>
                <w:rFonts w:ascii="SimSun" w:eastAsia="SimSun" w:hAnsi="SimSun" w:cs="Calibri"/>
                <w:sz w:val="24"/>
                <w:szCs w:val="24"/>
                <w:lang w:val="en-US" w:eastAsia="fi-FI"/>
              </w:rPr>
            </w:pPr>
            <w:r>
              <w:rPr>
                <w:rFonts w:ascii="Calibri" w:hAnsi="Calibri"/>
                <w:b/>
                <w:bCs/>
                <w:lang w:val="en-US"/>
              </w:rPr>
              <w:t>Company</w:t>
            </w:r>
          </w:p>
        </w:tc>
        <w:tc>
          <w:tcPr>
            <w:tcW w:w="1638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AAE7521" w14:textId="77777777" w:rsidR="006B24EB" w:rsidRDefault="006B24EB">
            <w:pPr>
              <w:jc w:val="center"/>
              <w:rPr>
                <w:rFonts w:ascii="SimSun" w:eastAsia="SimSun" w:hAnsi="SimSun" w:hint="eastAsia"/>
                <w:lang w:val="en-US"/>
              </w:rPr>
            </w:pPr>
            <w:r>
              <w:rPr>
                <w:rFonts w:ascii="Calibri" w:hAnsi="Calibri"/>
                <w:b/>
                <w:bCs/>
                <w:color w:val="000000"/>
                <w:lang w:val="en-US"/>
              </w:rPr>
              <w:t>View</w:t>
            </w:r>
          </w:p>
        </w:tc>
      </w:tr>
      <w:tr w:rsidR="006B24EB" w14:paraId="5EFF96BE" w14:textId="77777777" w:rsidTr="006B24EB">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59D50" w14:textId="77777777" w:rsidR="006B24EB" w:rsidRDefault="006B24EB">
            <w:pPr>
              <w:rPr>
                <w:rFonts w:ascii="SimSun" w:eastAsia="SimSun" w:hAnsi="SimSun" w:hint="eastAsia"/>
                <w:lang w:val="en-US"/>
              </w:rPr>
            </w:pPr>
            <w:r>
              <w:rPr>
                <w:rFonts w:ascii="Calibri" w:hAnsi="Calibri"/>
                <w:lang w:val="en-US"/>
              </w:rPr>
              <w:t>NTT DOCOMO</w:t>
            </w:r>
          </w:p>
        </w:tc>
        <w:tc>
          <w:tcPr>
            <w:tcW w:w="16385" w:type="dxa"/>
            <w:tcBorders>
              <w:top w:val="nil"/>
              <w:left w:val="nil"/>
              <w:bottom w:val="single" w:sz="8" w:space="0" w:color="auto"/>
              <w:right w:val="single" w:sz="8" w:space="0" w:color="auto"/>
            </w:tcBorders>
            <w:tcMar>
              <w:top w:w="0" w:type="dxa"/>
              <w:left w:w="108" w:type="dxa"/>
              <w:bottom w:w="0" w:type="dxa"/>
              <w:right w:w="108" w:type="dxa"/>
            </w:tcMar>
            <w:hideMark/>
          </w:tcPr>
          <w:p w14:paraId="2490B86B" w14:textId="77777777" w:rsidR="006B24EB" w:rsidRDefault="006B24EB">
            <w:pPr>
              <w:rPr>
                <w:rFonts w:ascii="SimSun" w:eastAsia="SimSun" w:hAnsi="SimSun" w:hint="eastAsia"/>
                <w:lang w:val="en-US"/>
              </w:rPr>
            </w:pPr>
            <w:r>
              <w:rPr>
                <w:rFonts w:ascii="Calibri" w:hAnsi="Calibri"/>
                <w:lang w:val="en-US"/>
              </w:rPr>
              <w:t>Agree.</w:t>
            </w:r>
          </w:p>
        </w:tc>
      </w:tr>
      <w:tr w:rsidR="006B24EB" w14:paraId="53246D52" w14:textId="77777777" w:rsidTr="006B24EB">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6E7DE" w14:textId="77777777" w:rsidR="006B24EB" w:rsidRDefault="006B24EB">
            <w:pPr>
              <w:rPr>
                <w:rFonts w:ascii="SimSun" w:eastAsia="SimSun" w:hAnsi="SimSun" w:hint="eastAsia"/>
                <w:lang w:val="en-US"/>
              </w:rPr>
            </w:pPr>
            <w:r>
              <w:rPr>
                <w:rFonts w:ascii="Calibri" w:hAnsi="Calibri"/>
                <w:lang w:val="en-US"/>
              </w:rPr>
              <w:t>OPPO</w:t>
            </w:r>
          </w:p>
        </w:tc>
        <w:tc>
          <w:tcPr>
            <w:tcW w:w="16385" w:type="dxa"/>
            <w:tcBorders>
              <w:top w:val="nil"/>
              <w:left w:val="nil"/>
              <w:bottom w:val="single" w:sz="8" w:space="0" w:color="auto"/>
              <w:right w:val="single" w:sz="8" w:space="0" w:color="auto"/>
            </w:tcBorders>
            <w:tcMar>
              <w:top w:w="0" w:type="dxa"/>
              <w:left w:w="108" w:type="dxa"/>
              <w:bottom w:w="0" w:type="dxa"/>
              <w:right w:w="108" w:type="dxa"/>
            </w:tcMar>
            <w:hideMark/>
          </w:tcPr>
          <w:p w14:paraId="5139F841" w14:textId="77777777" w:rsidR="006B24EB" w:rsidRDefault="006B24EB">
            <w:pPr>
              <w:rPr>
                <w:rFonts w:ascii="SimSun" w:eastAsia="SimSun" w:hAnsi="SimSun" w:hint="eastAsia"/>
                <w:lang w:val="en-US"/>
              </w:rPr>
            </w:pPr>
            <w:r>
              <w:rPr>
                <w:rFonts w:ascii="Calibri" w:hAnsi="Calibri"/>
                <w:lang w:val="en-US"/>
              </w:rPr>
              <w:t>Agree (for 2</w:t>
            </w:r>
            <w:r>
              <w:rPr>
                <w:rFonts w:ascii="Calibri" w:hAnsi="Calibri"/>
                <w:vertAlign w:val="superscript"/>
                <w:lang w:val="en-US"/>
              </w:rPr>
              <w:t>nd</w:t>
            </w:r>
            <w:r>
              <w:rPr>
                <w:rStyle w:val="apple-converted-space"/>
                <w:rFonts w:ascii="Calibri" w:hAnsi="Calibri"/>
                <w:lang w:val="en-US"/>
              </w:rPr>
              <w:t> </w:t>
            </w:r>
            <w:r>
              <w:rPr>
                <w:rFonts w:ascii="Calibri" w:hAnsi="Calibri"/>
                <w:lang w:val="en-US"/>
              </w:rPr>
              <w:t>sub-bullet, Q3 should be Q1)</w:t>
            </w:r>
          </w:p>
          <w:p w14:paraId="37F5AFD4" w14:textId="77777777" w:rsidR="006B24EB" w:rsidRDefault="006B24EB">
            <w:pPr>
              <w:rPr>
                <w:rFonts w:ascii="SimSun" w:eastAsia="SimSun" w:hAnsi="SimSun" w:hint="eastAsia"/>
                <w:lang w:val="en-US"/>
              </w:rPr>
            </w:pPr>
            <w:r>
              <w:rPr>
                <w:rFonts w:ascii="Calibri" w:hAnsi="Calibri"/>
                <w:lang w:val="en-US"/>
              </w:rPr>
              <w:t> </w:t>
            </w:r>
          </w:p>
          <w:p w14:paraId="6767262A" w14:textId="77777777" w:rsidR="006B24EB" w:rsidRDefault="006B24EB">
            <w:pPr>
              <w:rPr>
                <w:rFonts w:ascii="SimSun" w:eastAsia="SimSun" w:hAnsi="SimSun" w:hint="eastAsia"/>
                <w:lang w:val="en-US"/>
              </w:rPr>
            </w:pPr>
            <w:r>
              <w:rPr>
                <w:rFonts w:ascii="Calibri" w:hAnsi="Calibri"/>
                <w:b/>
                <w:bCs/>
                <w:color w:val="FF0000"/>
                <w:lang w:val="en-US"/>
              </w:rPr>
              <w:t>FL reply:</w:t>
            </w:r>
          </w:p>
          <w:p w14:paraId="7B300467" w14:textId="77777777" w:rsidR="006B24EB" w:rsidRDefault="006B24EB">
            <w:pPr>
              <w:rPr>
                <w:rFonts w:ascii="SimSun" w:eastAsia="SimSun" w:hAnsi="SimSun" w:hint="eastAsia"/>
                <w:lang w:val="en-US"/>
              </w:rPr>
            </w:pPr>
            <w:r>
              <w:rPr>
                <w:rFonts w:ascii="Calibri" w:hAnsi="Calibri"/>
                <w:color w:val="FF0000"/>
                <w:lang w:val="en-US"/>
              </w:rPr>
              <w:t> </w:t>
            </w:r>
          </w:p>
          <w:p w14:paraId="7C25D9E0" w14:textId="77777777" w:rsidR="006B24EB" w:rsidRDefault="006B24EB">
            <w:pPr>
              <w:rPr>
                <w:rFonts w:ascii="SimSun" w:eastAsia="SimSun" w:hAnsi="SimSun" w:hint="eastAsia"/>
                <w:lang w:val="en-US"/>
              </w:rPr>
            </w:pPr>
            <w:r>
              <w:rPr>
                <w:rFonts w:ascii="Calibri" w:hAnsi="Calibri"/>
                <w:color w:val="FF0000"/>
                <w:lang w:val="en-US"/>
              </w:rPr>
              <w:t>I guess both of us meant Q2.</w:t>
            </w:r>
          </w:p>
        </w:tc>
      </w:tr>
      <w:tr w:rsidR="006B24EB" w14:paraId="73591277" w14:textId="77777777" w:rsidTr="006B24EB">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2C1E0" w14:textId="77777777" w:rsidR="006B24EB" w:rsidRDefault="006B24EB">
            <w:pPr>
              <w:rPr>
                <w:rFonts w:ascii="SimSun" w:eastAsia="SimSun" w:hAnsi="SimSun" w:hint="eastAsia"/>
                <w:lang w:val="en-US"/>
              </w:rPr>
            </w:pPr>
            <w:r>
              <w:rPr>
                <w:rFonts w:ascii="Calibri" w:hAnsi="Calibri"/>
                <w:color w:val="7030A0"/>
                <w:lang w:val="en-US"/>
              </w:rPr>
              <w:t>vivo</w:t>
            </w:r>
          </w:p>
        </w:tc>
        <w:tc>
          <w:tcPr>
            <w:tcW w:w="16385" w:type="dxa"/>
            <w:tcBorders>
              <w:top w:val="nil"/>
              <w:left w:val="nil"/>
              <w:bottom w:val="single" w:sz="8" w:space="0" w:color="auto"/>
              <w:right w:val="single" w:sz="8" w:space="0" w:color="auto"/>
            </w:tcBorders>
            <w:tcMar>
              <w:top w:w="0" w:type="dxa"/>
              <w:left w:w="108" w:type="dxa"/>
              <w:bottom w:w="0" w:type="dxa"/>
              <w:right w:w="108" w:type="dxa"/>
            </w:tcMar>
            <w:hideMark/>
          </w:tcPr>
          <w:p w14:paraId="2E54751C" w14:textId="77777777" w:rsidR="006B24EB" w:rsidRDefault="006B24EB">
            <w:pPr>
              <w:rPr>
                <w:rFonts w:ascii="SimSun" w:eastAsia="SimSun" w:hAnsi="SimSun" w:hint="eastAsia"/>
                <w:lang w:val="en-US"/>
              </w:rPr>
            </w:pPr>
            <w:r>
              <w:rPr>
                <w:rFonts w:ascii="Calibri" w:hAnsi="Calibri"/>
                <w:color w:val="7030A0"/>
                <w:sz w:val="20"/>
                <w:szCs w:val="20"/>
                <w:lang w:val="en-US"/>
              </w:rPr>
              <w:t>For the 1</w:t>
            </w:r>
            <w:r>
              <w:rPr>
                <w:rFonts w:ascii="Calibri" w:hAnsi="Calibri"/>
                <w:color w:val="7030A0"/>
                <w:sz w:val="20"/>
                <w:szCs w:val="20"/>
                <w:vertAlign w:val="superscript"/>
                <w:lang w:val="en-US"/>
              </w:rPr>
              <w:t>st</w:t>
            </w:r>
            <w:r>
              <w:rPr>
                <w:rStyle w:val="apple-converted-space"/>
                <w:rFonts w:ascii="Calibri" w:hAnsi="Calibri"/>
                <w:color w:val="7030A0"/>
                <w:sz w:val="20"/>
                <w:szCs w:val="20"/>
                <w:lang w:val="en-US"/>
              </w:rPr>
              <w:t> </w:t>
            </w:r>
            <w:r>
              <w:rPr>
                <w:rFonts w:ascii="Calibri" w:hAnsi="Calibri"/>
                <w:color w:val="7030A0"/>
                <w:sz w:val="20"/>
                <w:szCs w:val="20"/>
                <w:lang w:val="en-US"/>
              </w:rPr>
              <w:t>sub-bullet, agree.</w:t>
            </w:r>
          </w:p>
          <w:p w14:paraId="791D78A1" w14:textId="77777777" w:rsidR="006B24EB" w:rsidRDefault="006B24EB">
            <w:pPr>
              <w:rPr>
                <w:rFonts w:ascii="SimSun" w:eastAsia="SimSun" w:hAnsi="SimSun" w:hint="eastAsia"/>
                <w:lang w:val="en-US"/>
              </w:rPr>
            </w:pPr>
            <w:r>
              <w:rPr>
                <w:rFonts w:ascii="Calibri" w:hAnsi="Calibri"/>
                <w:color w:val="7030A0"/>
                <w:sz w:val="20"/>
                <w:szCs w:val="20"/>
                <w:lang w:val="en-US"/>
              </w:rPr>
              <w:t>the 2</w:t>
            </w:r>
            <w:r>
              <w:rPr>
                <w:rFonts w:ascii="Calibri" w:hAnsi="Calibri"/>
                <w:color w:val="7030A0"/>
                <w:sz w:val="20"/>
                <w:szCs w:val="20"/>
                <w:vertAlign w:val="superscript"/>
                <w:lang w:val="en-US"/>
              </w:rPr>
              <w:t>nd</w:t>
            </w:r>
            <w:r>
              <w:rPr>
                <w:rStyle w:val="apple-converted-space"/>
                <w:rFonts w:ascii="Calibri" w:hAnsi="Calibri"/>
                <w:color w:val="7030A0"/>
                <w:sz w:val="20"/>
                <w:szCs w:val="20"/>
                <w:lang w:val="en-US"/>
              </w:rPr>
              <w:t> </w:t>
            </w:r>
            <w:r>
              <w:rPr>
                <w:rFonts w:ascii="Calibri" w:hAnsi="Calibri"/>
                <w:color w:val="7030A0"/>
                <w:sz w:val="20"/>
                <w:szCs w:val="20"/>
                <w:lang w:val="en-US"/>
              </w:rPr>
              <w:t>sub-bullet, we think it is related to Q4, please check our reply below. We can support this proposal when there is single HPN associated with a SL CG, in which case the SL CG  and HPN in RRC are identical.</w:t>
            </w:r>
          </w:p>
          <w:p w14:paraId="7AA9A0EF" w14:textId="77777777" w:rsidR="006B24EB" w:rsidRDefault="006B24EB">
            <w:pPr>
              <w:rPr>
                <w:rFonts w:ascii="SimSun" w:eastAsia="SimSun" w:hAnsi="SimSun" w:hint="eastAsia"/>
                <w:lang w:val="en-US"/>
              </w:rPr>
            </w:pPr>
            <w:r>
              <w:rPr>
                <w:rFonts w:ascii="Calibri" w:hAnsi="Calibri"/>
                <w:color w:val="7030A0"/>
                <w:sz w:val="20"/>
                <w:szCs w:val="20"/>
                <w:lang w:val="en-US"/>
              </w:rPr>
              <w:t> </w:t>
            </w:r>
          </w:p>
          <w:p w14:paraId="588FF91E" w14:textId="77777777" w:rsidR="006B24EB" w:rsidRDefault="006B24EB">
            <w:pPr>
              <w:rPr>
                <w:rFonts w:ascii="SimSun" w:eastAsia="SimSun" w:hAnsi="SimSun" w:hint="eastAsia"/>
                <w:lang w:val="en-US"/>
              </w:rPr>
            </w:pPr>
            <w:r>
              <w:rPr>
                <w:rFonts w:ascii="Calibri" w:hAnsi="Calibri"/>
                <w:b/>
                <w:bCs/>
                <w:color w:val="FF0000"/>
                <w:lang w:val="en-US"/>
              </w:rPr>
              <w:t>FL reply</w:t>
            </w:r>
            <w:r>
              <w:rPr>
                <w:rFonts w:ascii="Calibri" w:hAnsi="Calibri"/>
                <w:color w:val="FF0000"/>
                <w:lang w:val="en-US"/>
              </w:rPr>
              <w:t>:</w:t>
            </w:r>
          </w:p>
          <w:p w14:paraId="2654DD53" w14:textId="77777777" w:rsidR="006B24EB" w:rsidRDefault="006B24EB">
            <w:pPr>
              <w:rPr>
                <w:rFonts w:ascii="SimSun" w:eastAsia="SimSun" w:hAnsi="SimSun" w:hint="eastAsia"/>
                <w:lang w:val="en-US"/>
              </w:rPr>
            </w:pPr>
            <w:r>
              <w:rPr>
                <w:rFonts w:ascii="Calibri" w:hAnsi="Calibri"/>
                <w:color w:val="FF0000"/>
                <w:lang w:val="en-US"/>
              </w:rPr>
              <w:t> </w:t>
            </w:r>
          </w:p>
          <w:p w14:paraId="20BB826F" w14:textId="77777777" w:rsidR="006B24EB" w:rsidRDefault="006B24EB">
            <w:pPr>
              <w:rPr>
                <w:rFonts w:ascii="SimSun" w:eastAsia="SimSun" w:hAnsi="SimSun" w:hint="eastAsia"/>
                <w:lang w:val="en-US"/>
              </w:rPr>
            </w:pPr>
            <w:r>
              <w:rPr>
                <w:rFonts w:ascii="Calibri" w:hAnsi="Calibri"/>
                <w:color w:val="FF0000"/>
                <w:lang w:val="en-US"/>
              </w:rPr>
              <w:t>The agreement on the formula is in Q2. We are only saying that we will use that HARQ process ID.</w:t>
            </w:r>
          </w:p>
          <w:p w14:paraId="5487A886" w14:textId="77777777" w:rsidR="006B24EB" w:rsidRDefault="006B24EB">
            <w:pPr>
              <w:rPr>
                <w:rFonts w:ascii="SimSun" w:eastAsia="SimSun" w:hAnsi="SimSun" w:hint="eastAsia"/>
                <w:sz w:val="24"/>
                <w:szCs w:val="24"/>
                <w:lang w:val="en-US"/>
              </w:rPr>
            </w:pPr>
            <w:r>
              <w:rPr>
                <w:rFonts w:ascii="Calibri" w:hAnsi="Calibri"/>
                <w:color w:val="FF0000"/>
                <w:lang w:val="en-US"/>
              </w:rPr>
              <w:t>I don’t think there is consensus in the group for having a single HPN. On the contrary.</w:t>
            </w:r>
          </w:p>
        </w:tc>
      </w:tr>
      <w:tr w:rsidR="006B24EB" w14:paraId="7DAAF547" w14:textId="77777777" w:rsidTr="006B24EB">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64DC0" w14:textId="77777777" w:rsidR="006B24EB" w:rsidRDefault="006B24EB">
            <w:pPr>
              <w:rPr>
                <w:rFonts w:ascii="Calibri" w:eastAsia="Gulim" w:hAnsi="Calibri" w:hint="eastAsia"/>
                <w:lang w:val="en-US"/>
              </w:rPr>
            </w:pPr>
            <w:r>
              <w:rPr>
                <w:rFonts w:ascii="Calibri" w:hAnsi="Calibri"/>
                <w:color w:val="1F497D"/>
                <w:lang w:val="en-US"/>
              </w:rPr>
              <w:t>LG Electronics</w:t>
            </w:r>
          </w:p>
        </w:tc>
        <w:tc>
          <w:tcPr>
            <w:tcW w:w="16385" w:type="dxa"/>
            <w:tcBorders>
              <w:top w:val="nil"/>
              <w:left w:val="nil"/>
              <w:bottom w:val="single" w:sz="8" w:space="0" w:color="auto"/>
              <w:right w:val="single" w:sz="8" w:space="0" w:color="auto"/>
            </w:tcBorders>
            <w:tcMar>
              <w:top w:w="0" w:type="dxa"/>
              <w:left w:w="108" w:type="dxa"/>
              <w:bottom w:w="0" w:type="dxa"/>
              <w:right w:w="108" w:type="dxa"/>
            </w:tcMar>
          </w:tcPr>
          <w:p w14:paraId="47819597" w14:textId="77777777" w:rsidR="006B24EB" w:rsidRDefault="006B24EB">
            <w:pPr>
              <w:rPr>
                <w:rFonts w:ascii="Calibri" w:hAnsi="Calibri"/>
                <w:color w:val="1F497D"/>
                <w:lang w:val="en-US"/>
              </w:rPr>
            </w:pPr>
            <w:r>
              <w:rPr>
                <w:rFonts w:ascii="Calibri" w:hAnsi="Calibri"/>
                <w:color w:val="1F497D"/>
                <w:lang w:val="en-US"/>
              </w:rPr>
              <w:t>First of all, we are not fully convinced the technical reason why it needs to exclude the possibility that if the HARQ procedure of pervious TB is terminated (e.g., by receiving ACK from RX UE) and there are still remaining TX resources within a period, then a UE can use these remaining resources for new TB TX.</w:t>
            </w:r>
          </w:p>
          <w:p w14:paraId="5154AFB3" w14:textId="77777777" w:rsidR="006B24EB" w:rsidRDefault="006B24EB">
            <w:pPr>
              <w:rPr>
                <w:rFonts w:ascii="Calibri" w:hAnsi="Calibri"/>
                <w:color w:val="1F497D"/>
                <w:lang w:val="en-US"/>
              </w:rPr>
            </w:pPr>
          </w:p>
          <w:p w14:paraId="38E54ACF" w14:textId="77777777" w:rsidR="006B24EB" w:rsidRDefault="006B24EB">
            <w:pPr>
              <w:rPr>
                <w:rFonts w:ascii="Calibri" w:hAnsi="Calibri"/>
                <w:color w:val="1F497D"/>
                <w:lang w:val="en-US"/>
              </w:rPr>
            </w:pPr>
            <w:r>
              <w:rPr>
                <w:rFonts w:ascii="Calibri" w:hAnsi="Calibri"/>
                <w:color w:val="1F497D"/>
                <w:lang w:val="en-US"/>
              </w:rPr>
              <w:t>For 1</w:t>
            </w:r>
            <w:r>
              <w:rPr>
                <w:rFonts w:ascii="Calibri" w:hAnsi="Calibri"/>
                <w:color w:val="1F497D"/>
                <w:vertAlign w:val="superscript"/>
                <w:lang w:val="en-US"/>
              </w:rPr>
              <w:t>st</w:t>
            </w:r>
            <w:r>
              <w:rPr>
                <w:rFonts w:ascii="Calibri" w:hAnsi="Calibri"/>
                <w:color w:val="1F497D"/>
                <w:lang w:val="en-US"/>
              </w:rPr>
              <w:t xml:space="preserve"> proposal, is it correct understanding that by this proposal, re-TX operation for the TB is also confined within a period (where first TX of a TB occurred)? If not, there could be a problematic case where a UE receives multiple DG DCIs with the same HPN and NDI values for scheduling re-TXs of different TBs.</w:t>
            </w:r>
          </w:p>
          <w:p w14:paraId="4F73A670" w14:textId="77777777" w:rsidR="006B24EB" w:rsidRDefault="006B24EB">
            <w:pPr>
              <w:rPr>
                <w:rFonts w:ascii="Calibri" w:hAnsi="Calibri"/>
                <w:color w:val="1F497D"/>
                <w:lang w:val="en-US"/>
              </w:rPr>
            </w:pPr>
            <w:r>
              <w:rPr>
                <w:rFonts w:ascii="Calibri" w:hAnsi="Calibri"/>
                <w:color w:val="1F497D"/>
                <w:lang w:val="en-US"/>
              </w:rPr>
              <w:t>For 2</w:t>
            </w:r>
            <w:r>
              <w:rPr>
                <w:rFonts w:ascii="Calibri" w:hAnsi="Calibri"/>
                <w:color w:val="1F497D"/>
                <w:vertAlign w:val="superscript"/>
                <w:lang w:val="en-US"/>
              </w:rPr>
              <w:t>nd</w:t>
            </w:r>
            <w:r>
              <w:rPr>
                <w:rFonts w:ascii="Calibri" w:hAnsi="Calibri"/>
                <w:color w:val="1F497D"/>
                <w:lang w:val="en-US"/>
              </w:rPr>
              <w:t xml:space="preserve"> proposal, just to be clear, the following modification would be necessary.</w:t>
            </w:r>
          </w:p>
          <w:p w14:paraId="22C4FC38" w14:textId="77777777" w:rsidR="006B24EB" w:rsidRDefault="006B24EB" w:rsidP="006B24EB">
            <w:pPr>
              <w:numPr>
                <w:ilvl w:val="0"/>
                <w:numId w:val="28"/>
              </w:numPr>
              <w:spacing w:before="100" w:beforeAutospacing="1" w:after="100" w:afterAutospacing="1" w:line="240" w:lineRule="auto"/>
              <w:rPr>
                <w:rFonts w:ascii="Malgun Gothic" w:eastAsia="Malgun Gothic" w:hAnsi="Malgun Gothic"/>
                <w:color w:val="1F497D"/>
                <w:sz w:val="20"/>
                <w:szCs w:val="20"/>
                <w:lang w:val="en-US"/>
              </w:rPr>
            </w:pPr>
            <w:r>
              <w:rPr>
                <w:rFonts w:ascii="Calibri" w:hAnsi="Calibri"/>
                <w:color w:val="1F497D"/>
                <w:lang w:val="en-US"/>
              </w:rPr>
              <w:t xml:space="preserve">The DCI scheduling the retransmissions uses the HARQ process ID corresponding to the </w:t>
            </w:r>
            <w:r>
              <w:rPr>
                <w:rFonts w:ascii="Calibri" w:hAnsi="Calibri"/>
                <w:color w:val="C00000"/>
                <w:lang w:val="en-US"/>
              </w:rPr>
              <w:t xml:space="preserve">first </w:t>
            </w:r>
            <w:r>
              <w:rPr>
                <w:rFonts w:ascii="Calibri" w:hAnsi="Calibri"/>
                <w:color w:val="1F497D"/>
                <w:lang w:val="en-US"/>
              </w:rPr>
              <w:t>transmission of the TB, as agreed for Q3</w:t>
            </w:r>
          </w:p>
          <w:p w14:paraId="7A0CA889" w14:textId="77777777" w:rsidR="006B24EB" w:rsidRDefault="006B24EB">
            <w:pPr>
              <w:rPr>
                <w:rFonts w:ascii="SimSun" w:eastAsia="SimSun" w:hAnsi="SimSun" w:hint="eastAsia"/>
                <w:sz w:val="24"/>
                <w:szCs w:val="24"/>
                <w:lang w:val="en-US"/>
              </w:rPr>
            </w:pPr>
            <w:r>
              <w:rPr>
                <w:rFonts w:ascii="Calibri" w:hAnsi="Calibri"/>
                <w:b/>
                <w:bCs/>
                <w:color w:val="FF0000"/>
                <w:lang w:val="en-US"/>
              </w:rPr>
              <w:t>FL reply</w:t>
            </w:r>
            <w:r>
              <w:rPr>
                <w:rFonts w:ascii="Calibri" w:hAnsi="Calibri"/>
                <w:color w:val="FF0000"/>
                <w:lang w:val="en-US"/>
              </w:rPr>
              <w:t>:</w:t>
            </w:r>
          </w:p>
          <w:p w14:paraId="52AA98D0" w14:textId="77777777" w:rsidR="006B24EB" w:rsidRDefault="006B24EB">
            <w:pPr>
              <w:rPr>
                <w:rFonts w:ascii="SimSun" w:eastAsia="SimSun" w:hAnsi="SimSun" w:hint="eastAsia"/>
                <w:lang w:val="en-US"/>
              </w:rPr>
            </w:pPr>
            <w:r>
              <w:rPr>
                <w:rFonts w:ascii="Calibri" w:hAnsi="Calibri"/>
                <w:color w:val="FF0000"/>
                <w:lang w:val="en-US"/>
              </w:rPr>
              <w:t> </w:t>
            </w:r>
          </w:p>
          <w:p w14:paraId="75B545F1" w14:textId="77777777" w:rsidR="006B24EB" w:rsidRDefault="006B24EB">
            <w:pPr>
              <w:spacing w:before="100" w:beforeAutospacing="1"/>
              <w:rPr>
                <w:rFonts w:ascii="Malgun Gothic" w:eastAsia="Malgun Gothic" w:hAnsi="Malgun Gothic" w:hint="eastAsia"/>
                <w:color w:val="FF0000"/>
                <w:sz w:val="20"/>
                <w:szCs w:val="20"/>
                <w:lang w:val="en-US"/>
              </w:rPr>
            </w:pPr>
            <w:r>
              <w:rPr>
                <w:rFonts w:ascii="Malgun Gothic" w:eastAsia="Malgun Gothic" w:hAnsi="Malgun Gothic" w:hint="eastAsia"/>
                <w:color w:val="FF0000"/>
                <w:sz w:val="20"/>
                <w:szCs w:val="20"/>
                <w:lang w:val="en-US"/>
              </w:rPr>
              <w:t>For the first proposal, my understanding is that gNB implementation and CG configuration should eliminate this possibility or make it a corner case.</w:t>
            </w:r>
          </w:p>
          <w:p w14:paraId="46491B59" w14:textId="77777777" w:rsidR="006B24EB" w:rsidRDefault="006B24EB">
            <w:pPr>
              <w:spacing w:after="100" w:afterAutospacing="1"/>
              <w:rPr>
                <w:rFonts w:ascii="Malgun Gothic" w:eastAsia="Malgun Gothic" w:hAnsi="Malgun Gothic" w:hint="eastAsia"/>
                <w:color w:val="1F497D"/>
                <w:sz w:val="20"/>
                <w:szCs w:val="20"/>
                <w:lang w:val="en-US"/>
              </w:rPr>
            </w:pPr>
            <w:r>
              <w:rPr>
                <w:rFonts w:ascii="Malgun Gothic" w:eastAsia="Malgun Gothic" w:hAnsi="Malgun Gothic" w:hint="eastAsia"/>
                <w:color w:val="FF0000"/>
                <w:sz w:val="20"/>
                <w:szCs w:val="20"/>
                <w:lang w:val="en-US"/>
              </w:rPr>
              <w:t>I have taken your suggestion for the 2</w:t>
            </w:r>
            <w:r>
              <w:rPr>
                <w:rFonts w:ascii="Malgun Gothic" w:eastAsia="Malgun Gothic" w:hAnsi="Malgun Gothic" w:hint="eastAsia"/>
                <w:color w:val="FF0000"/>
                <w:sz w:val="20"/>
                <w:szCs w:val="20"/>
                <w:vertAlign w:val="superscript"/>
                <w:lang w:val="en-US"/>
              </w:rPr>
              <w:t>nd</w:t>
            </w:r>
            <w:r>
              <w:rPr>
                <w:rFonts w:ascii="Malgun Gothic" w:eastAsia="Malgun Gothic" w:hAnsi="Malgun Gothic" w:hint="eastAsia"/>
                <w:color w:val="FF0000"/>
                <w:sz w:val="20"/>
                <w:szCs w:val="20"/>
                <w:lang w:val="en-US"/>
              </w:rPr>
              <w:t xml:space="preserve"> proposal.</w:t>
            </w:r>
          </w:p>
        </w:tc>
      </w:tr>
    </w:tbl>
    <w:p w14:paraId="404F8D6F" w14:textId="77777777" w:rsidR="006B24EB" w:rsidRDefault="006B24EB" w:rsidP="006B24EB">
      <w:pPr>
        <w:spacing w:after="0" w:line="240" w:lineRule="auto"/>
        <w:ind w:right="300"/>
        <w:rPr>
          <w:lang w:val="en-US"/>
        </w:rPr>
      </w:pPr>
    </w:p>
    <w:p w14:paraId="46F1C07A" w14:textId="77777777" w:rsidR="006B24EB" w:rsidRDefault="006B24EB" w:rsidP="006B24EB">
      <w:pPr>
        <w:pStyle w:val="Heading3"/>
        <w:rPr>
          <w:rFonts w:ascii="Calibri" w:hAnsi="Calibri" w:cs="Calibri"/>
          <w:lang w:eastAsia="fi-FI"/>
        </w:rPr>
      </w:pPr>
      <w:r>
        <w:t>Q4: For a configured grant, whether to allow using multiple HARQ processes in parallel.</w:t>
      </w:r>
    </w:p>
    <w:tbl>
      <w:tblPr>
        <w:tblW w:w="0" w:type="auto"/>
        <w:tblCellMar>
          <w:left w:w="0" w:type="dxa"/>
          <w:right w:w="0" w:type="dxa"/>
        </w:tblCellMar>
        <w:tblLook w:val="04A0" w:firstRow="1" w:lastRow="0" w:firstColumn="1" w:lastColumn="0" w:noHBand="0" w:noVBand="1"/>
      </w:tblPr>
      <w:tblGrid>
        <w:gridCol w:w="4675"/>
        <w:gridCol w:w="4675"/>
      </w:tblGrid>
      <w:tr w:rsidR="006B24EB" w14:paraId="34EDC7D4" w14:textId="77777777" w:rsidTr="006B24EB">
        <w:tc>
          <w:tcPr>
            <w:tcW w:w="4675"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2554EE7" w14:textId="77777777" w:rsidR="006B24EB" w:rsidRDefault="006B24EB">
            <w:pPr>
              <w:jc w:val="center"/>
              <w:rPr>
                <w:rFonts w:ascii="SimSun" w:eastAsia="SimSun" w:hAnsi="SimSun" w:cs="Calibri"/>
                <w:sz w:val="24"/>
                <w:szCs w:val="24"/>
                <w:lang w:val="en-US" w:eastAsia="fi-FI"/>
              </w:rPr>
            </w:pPr>
            <w:r>
              <w:rPr>
                <w:rFonts w:ascii="Calibri" w:hAnsi="Calibri"/>
                <w:b/>
                <w:bCs/>
                <w:lang w:val="en-US"/>
              </w:rPr>
              <w:t>Company</w:t>
            </w:r>
          </w:p>
        </w:tc>
        <w:tc>
          <w:tcPr>
            <w:tcW w:w="467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DC0B509" w14:textId="77777777" w:rsidR="006B24EB" w:rsidRDefault="006B24EB">
            <w:pPr>
              <w:jc w:val="center"/>
              <w:rPr>
                <w:rFonts w:ascii="SimSun" w:eastAsia="SimSun" w:hAnsi="SimSun" w:hint="eastAsia"/>
                <w:lang w:val="en-US"/>
              </w:rPr>
            </w:pPr>
            <w:r>
              <w:rPr>
                <w:rFonts w:ascii="Calibri" w:hAnsi="Calibri"/>
                <w:b/>
                <w:bCs/>
                <w:color w:val="000000"/>
                <w:lang w:val="en-US"/>
              </w:rPr>
              <w:t>View</w:t>
            </w:r>
          </w:p>
        </w:tc>
      </w:tr>
      <w:tr w:rsidR="006B24EB" w14:paraId="2B6FB850" w14:textId="77777777" w:rsidTr="006B24E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7D447" w14:textId="77777777" w:rsidR="006B24EB" w:rsidRDefault="006B24EB">
            <w:pPr>
              <w:rPr>
                <w:rFonts w:ascii="SimSun" w:eastAsia="SimSun" w:hAnsi="SimSun" w:hint="eastAsia"/>
                <w:lang w:val="en-US"/>
              </w:rPr>
            </w:pPr>
            <w:r>
              <w:rPr>
                <w:rFonts w:ascii="Calibri" w:hAnsi="Calibri"/>
                <w:lang w:val="en-US"/>
              </w:rPr>
              <w:t>NTT DOCOMO</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A376D7A" w14:textId="77777777" w:rsidR="006B24EB" w:rsidRDefault="006B24EB">
            <w:pPr>
              <w:rPr>
                <w:rFonts w:ascii="SimSun" w:eastAsia="SimSun" w:hAnsi="SimSun" w:hint="eastAsia"/>
                <w:lang w:val="en-US"/>
              </w:rPr>
            </w:pPr>
            <w:r>
              <w:rPr>
                <w:rFonts w:ascii="Calibri" w:hAnsi="Calibri"/>
                <w:lang w:val="en-US"/>
              </w:rPr>
              <w:t>OK</w:t>
            </w:r>
          </w:p>
        </w:tc>
      </w:tr>
      <w:tr w:rsidR="006B24EB" w14:paraId="2B0B03C6" w14:textId="77777777" w:rsidTr="006B24E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EAA7A" w14:textId="77777777" w:rsidR="006B24EB" w:rsidRDefault="006B24EB">
            <w:pPr>
              <w:rPr>
                <w:rFonts w:ascii="SimSun" w:eastAsia="SimSun" w:hAnsi="SimSun" w:hint="eastAsia"/>
                <w:lang w:val="en-US"/>
              </w:rPr>
            </w:pPr>
            <w:r>
              <w:rPr>
                <w:rFonts w:ascii="Calibri" w:hAnsi="Calibri"/>
                <w:lang w:val="en-US"/>
              </w:rPr>
              <w:t>OPPO</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7FDF0D37" w14:textId="77777777" w:rsidR="006B24EB" w:rsidRDefault="006B24EB">
            <w:pPr>
              <w:rPr>
                <w:rFonts w:ascii="SimSun" w:eastAsia="SimSun" w:hAnsi="SimSun" w:hint="eastAsia"/>
                <w:lang w:val="en-US"/>
              </w:rPr>
            </w:pPr>
            <w:r>
              <w:rPr>
                <w:rFonts w:ascii="Calibri" w:hAnsi="Calibri"/>
                <w:lang w:val="en-US"/>
              </w:rPr>
              <w:t>Agree</w:t>
            </w:r>
          </w:p>
        </w:tc>
      </w:tr>
      <w:tr w:rsidR="006B24EB" w14:paraId="2F7E3350" w14:textId="77777777" w:rsidTr="006B24E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C8218" w14:textId="77777777" w:rsidR="006B24EB" w:rsidRDefault="006B24EB">
            <w:pPr>
              <w:rPr>
                <w:rFonts w:ascii="SimSun" w:eastAsia="SimSun" w:hAnsi="SimSun" w:hint="eastAsia"/>
                <w:lang w:val="en-US"/>
              </w:rPr>
            </w:pPr>
            <w:r>
              <w:rPr>
                <w:rFonts w:ascii="Calibri" w:hAnsi="Calibri"/>
                <w:color w:val="7030A0"/>
                <w:lang w:val="en-US"/>
              </w:rPr>
              <w:t>vivo</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6F37B147" w14:textId="77777777" w:rsidR="006B24EB" w:rsidRDefault="006B24EB">
            <w:pPr>
              <w:rPr>
                <w:rFonts w:ascii="SimSun" w:eastAsia="SimSun" w:hAnsi="SimSun" w:hint="eastAsia"/>
                <w:lang w:val="en-US"/>
              </w:rPr>
            </w:pPr>
            <w:r>
              <w:rPr>
                <w:rFonts w:ascii="Calibri" w:hAnsi="Calibri"/>
                <w:color w:val="7030A0"/>
                <w:sz w:val="20"/>
                <w:szCs w:val="20"/>
                <w:lang w:val="en-US"/>
              </w:rPr>
              <w:t>One question for the proposal, does the HARQ ID process in this proposal also refer to the HARQ process ID for the interaction between gNB and UE in Q2?</w:t>
            </w:r>
          </w:p>
          <w:p w14:paraId="4698D379" w14:textId="77777777" w:rsidR="006B24EB" w:rsidRDefault="006B24EB">
            <w:pPr>
              <w:rPr>
                <w:rFonts w:ascii="SimSun" w:eastAsia="SimSun" w:hAnsi="SimSun" w:hint="eastAsia"/>
                <w:lang w:val="en-US"/>
              </w:rPr>
            </w:pPr>
            <w:r>
              <w:rPr>
                <w:rFonts w:ascii="Calibri" w:hAnsi="Calibri"/>
                <w:color w:val="7030A0"/>
                <w:sz w:val="20"/>
                <w:szCs w:val="20"/>
                <w:lang w:val="en-US"/>
              </w:rPr>
              <w:t>If yes, the HPN configured in RRC is more like a virtual HPN and can be mapped to any SL HPN for different TBs as TX UE likes. Then it is still possible for TX UE to transmit TBs using multiple HARQ processes over a SL  CG even if a single virtual HPN is allocated, why we need to waste multiple virtual HPNs in configuration?</w:t>
            </w:r>
          </w:p>
          <w:p w14:paraId="6FF5AB56" w14:textId="77777777" w:rsidR="006B24EB" w:rsidRDefault="006B24EB">
            <w:pPr>
              <w:rPr>
                <w:rFonts w:ascii="SimSun" w:eastAsia="SimSun" w:hAnsi="SimSun" w:hint="eastAsia"/>
                <w:lang w:val="en-US"/>
              </w:rPr>
            </w:pPr>
            <w:r>
              <w:rPr>
                <w:rFonts w:ascii="Calibri" w:hAnsi="Calibri"/>
                <w:color w:val="7030A0"/>
                <w:sz w:val="20"/>
                <w:szCs w:val="20"/>
                <w:lang w:val="en-US"/>
              </w:rPr>
              <w:t> </w:t>
            </w:r>
          </w:p>
          <w:p w14:paraId="3EBAEF0A" w14:textId="77777777" w:rsidR="006B24EB" w:rsidRDefault="006B24EB">
            <w:pPr>
              <w:rPr>
                <w:rFonts w:ascii="SimSun" w:eastAsia="SimSun" w:hAnsi="SimSun" w:hint="eastAsia"/>
                <w:lang w:val="en-US"/>
              </w:rPr>
            </w:pPr>
            <w:r>
              <w:rPr>
                <w:rFonts w:ascii="Calibri" w:hAnsi="Calibri"/>
                <w:b/>
                <w:bCs/>
                <w:color w:val="FF0000"/>
                <w:lang w:val="en-US"/>
              </w:rPr>
              <w:t>FL reply:</w:t>
            </w:r>
          </w:p>
          <w:p w14:paraId="24712295" w14:textId="77777777" w:rsidR="006B24EB" w:rsidRDefault="006B24EB">
            <w:pPr>
              <w:rPr>
                <w:rFonts w:ascii="SimSun" w:eastAsia="SimSun" w:hAnsi="SimSun" w:hint="eastAsia"/>
                <w:lang w:val="en-US"/>
              </w:rPr>
            </w:pPr>
            <w:r>
              <w:rPr>
                <w:rFonts w:ascii="Calibri" w:hAnsi="Calibri"/>
                <w:color w:val="FF0000"/>
                <w:lang w:val="en-US"/>
              </w:rPr>
              <w:t> </w:t>
            </w:r>
          </w:p>
          <w:p w14:paraId="234880B4" w14:textId="77777777" w:rsidR="006B24EB" w:rsidRDefault="006B24EB">
            <w:pPr>
              <w:rPr>
                <w:rFonts w:ascii="SimSun" w:eastAsia="SimSun" w:hAnsi="SimSun" w:hint="eastAsia"/>
                <w:lang w:val="en-US"/>
              </w:rPr>
            </w:pPr>
            <w:r>
              <w:rPr>
                <w:rFonts w:ascii="Calibri" w:hAnsi="Calibri"/>
                <w:color w:val="FF0000"/>
                <w:lang w:val="en-US"/>
              </w:rPr>
              <w:t>Yes, it refers to the HARQ process ID between UE and gNB. I share your view that this is not a true HARQ ID and some other more optimized design would be possible. But this works, it is similar to Uu, and it is supported by the majority of companies.</w:t>
            </w:r>
          </w:p>
        </w:tc>
      </w:tr>
      <w:tr w:rsidR="006B24EB" w14:paraId="63667500" w14:textId="77777777" w:rsidTr="006B24E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34733" w14:textId="77777777" w:rsidR="006B24EB" w:rsidRDefault="006B24EB">
            <w:pPr>
              <w:rPr>
                <w:rFonts w:ascii="Calibri" w:eastAsia="Gulim" w:hAnsi="Calibri" w:hint="eastAsia"/>
                <w:lang w:val="en-US"/>
              </w:rPr>
            </w:pPr>
            <w:r>
              <w:rPr>
                <w:rFonts w:ascii="Calibri" w:hAnsi="Calibri"/>
                <w:color w:val="1F497D"/>
                <w:lang w:val="en-US"/>
              </w:rPr>
              <w:t>LG Electronics</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14:paraId="224F3FC7" w14:textId="77777777" w:rsidR="006B24EB" w:rsidRDefault="006B24EB">
            <w:pPr>
              <w:rPr>
                <w:rFonts w:ascii="Calibri" w:hAnsi="Calibri"/>
                <w:color w:val="1F497D"/>
                <w:lang w:val="en-US"/>
              </w:rPr>
            </w:pPr>
            <w:r>
              <w:rPr>
                <w:rFonts w:ascii="Calibri" w:hAnsi="Calibri"/>
                <w:color w:val="1F497D"/>
                <w:lang w:val="en-US"/>
              </w:rPr>
              <w:t>It should be clarified that multiple HARQ ID processes can’t be activated simultaneously for a SL CG.</w:t>
            </w:r>
          </w:p>
          <w:p w14:paraId="554E7D5F" w14:textId="77777777" w:rsidR="006B24EB" w:rsidRDefault="006B24EB">
            <w:pPr>
              <w:rPr>
                <w:rFonts w:ascii="Calibri" w:hAnsi="Calibri"/>
                <w:b/>
                <w:bCs/>
                <w:color w:val="FF0000"/>
                <w:lang w:val="en-US"/>
              </w:rPr>
            </w:pPr>
          </w:p>
          <w:p w14:paraId="3F2C9BAD" w14:textId="77777777" w:rsidR="006B24EB" w:rsidRDefault="006B24EB">
            <w:pPr>
              <w:rPr>
                <w:rFonts w:ascii="SimSun" w:eastAsia="SimSun" w:hAnsi="SimSun"/>
                <w:sz w:val="24"/>
                <w:szCs w:val="24"/>
                <w:lang w:val="en-US"/>
              </w:rPr>
            </w:pPr>
            <w:r>
              <w:rPr>
                <w:rFonts w:ascii="Calibri" w:hAnsi="Calibri"/>
                <w:b/>
                <w:bCs/>
                <w:color w:val="FF0000"/>
                <w:lang w:val="en-US"/>
              </w:rPr>
              <w:t>FL reply:</w:t>
            </w:r>
          </w:p>
          <w:p w14:paraId="2D5D007C" w14:textId="77777777" w:rsidR="006B24EB" w:rsidRDefault="006B24EB">
            <w:pPr>
              <w:rPr>
                <w:rFonts w:ascii="SimSun" w:eastAsia="SimSun" w:hAnsi="SimSun" w:hint="eastAsia"/>
                <w:lang w:val="en-US"/>
              </w:rPr>
            </w:pPr>
            <w:r>
              <w:rPr>
                <w:rFonts w:ascii="Calibri" w:hAnsi="Calibri"/>
                <w:color w:val="FF0000"/>
                <w:lang w:val="en-US"/>
              </w:rPr>
              <w:t> </w:t>
            </w:r>
          </w:p>
          <w:p w14:paraId="63E85735" w14:textId="77777777" w:rsidR="006B24EB" w:rsidRDefault="006B24EB">
            <w:pPr>
              <w:rPr>
                <w:rFonts w:ascii="Malgun Gothic" w:eastAsia="Malgun Gothic" w:hAnsi="Malgun Gothic" w:hint="eastAsia"/>
                <w:color w:val="1F497D"/>
                <w:sz w:val="20"/>
                <w:szCs w:val="20"/>
                <w:lang w:val="en-US"/>
              </w:rPr>
            </w:pPr>
            <w:r>
              <w:rPr>
                <w:rFonts w:ascii="Malgun Gothic" w:eastAsia="Malgun Gothic" w:hAnsi="Malgun Gothic" w:hint="eastAsia"/>
                <w:color w:val="FF0000"/>
                <w:sz w:val="20"/>
                <w:szCs w:val="20"/>
                <w:lang w:val="en-US"/>
              </w:rPr>
              <w:t>My understanding is that this is against the principle of the proposal. Perhaps other companies can comment on it.</w:t>
            </w:r>
          </w:p>
        </w:tc>
      </w:tr>
      <w:tr w:rsidR="006B24EB" w14:paraId="58076112" w14:textId="77777777" w:rsidTr="006B24E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37EA7" w14:textId="77777777" w:rsidR="006B24EB" w:rsidRDefault="006B24EB">
            <w:pPr>
              <w:rPr>
                <w:rFonts w:ascii="Calibri" w:eastAsia="Gulim" w:hAnsi="Calibri" w:hint="eastAsia"/>
                <w:color w:val="1F497D"/>
                <w:lang w:val="en-US"/>
              </w:rPr>
            </w:pPr>
            <w:r>
              <w:rPr>
                <w:rFonts w:ascii="Calibri" w:hAnsi="Calibri"/>
                <w:color w:val="1F497D"/>
                <w:lang w:val="en-US"/>
              </w:rPr>
              <w:t>Qualcomm</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14:paraId="573EBDF5" w14:textId="77777777" w:rsidR="006B24EB" w:rsidRDefault="006B24EB">
            <w:pPr>
              <w:spacing w:line="252" w:lineRule="auto"/>
              <w:rPr>
                <w:rFonts w:ascii="Calibri" w:hAnsi="Calibri"/>
                <w:sz w:val="20"/>
                <w:szCs w:val="20"/>
                <w:lang w:val="en-US"/>
              </w:rPr>
            </w:pPr>
            <w:r>
              <w:rPr>
                <w:rFonts w:ascii="Calibri" w:hAnsi="Calibri"/>
                <w:sz w:val="20"/>
                <w:szCs w:val="20"/>
                <w:lang w:val="en-US"/>
              </w:rPr>
              <w:t>An additional restriction for the case where multiple configured grant configurations are supported and configured needs to be captured so that the HARQ process IDs are unique across all configurations.</w:t>
            </w:r>
          </w:p>
          <w:p w14:paraId="1D0A526C" w14:textId="77777777" w:rsidR="006B24EB" w:rsidRDefault="006B24EB">
            <w:pPr>
              <w:rPr>
                <w:rFonts w:ascii="Calibri" w:hAnsi="Calibri"/>
                <w:color w:val="1F497D"/>
                <w:lang w:val="en-US"/>
              </w:rPr>
            </w:pPr>
          </w:p>
          <w:p w14:paraId="3008BAB9" w14:textId="77777777" w:rsidR="006B24EB" w:rsidRDefault="006B24EB">
            <w:pPr>
              <w:rPr>
                <w:rFonts w:ascii="SimSun" w:eastAsia="SimSun" w:hAnsi="SimSun"/>
                <w:sz w:val="24"/>
                <w:szCs w:val="24"/>
                <w:lang w:val="en-US"/>
              </w:rPr>
            </w:pPr>
            <w:r>
              <w:rPr>
                <w:rFonts w:ascii="Calibri" w:hAnsi="Calibri"/>
                <w:b/>
                <w:bCs/>
                <w:color w:val="FF0000"/>
                <w:lang w:val="en-US"/>
              </w:rPr>
              <w:t>FL reply:</w:t>
            </w:r>
          </w:p>
          <w:p w14:paraId="59F01B9B" w14:textId="77777777" w:rsidR="006B24EB" w:rsidRDefault="006B24EB">
            <w:pPr>
              <w:rPr>
                <w:rFonts w:ascii="SimSun" w:eastAsia="SimSun" w:hAnsi="SimSun" w:hint="eastAsia"/>
                <w:color w:val="FF0000"/>
                <w:lang w:val="en-US"/>
              </w:rPr>
            </w:pPr>
            <w:r>
              <w:rPr>
                <w:rFonts w:ascii="Calibri" w:hAnsi="Calibri"/>
                <w:color w:val="FF0000"/>
                <w:lang w:val="en-US"/>
              </w:rPr>
              <w:t> </w:t>
            </w:r>
          </w:p>
          <w:p w14:paraId="6B5FDF53" w14:textId="77777777" w:rsidR="006B24EB" w:rsidRDefault="006B24EB">
            <w:pPr>
              <w:rPr>
                <w:rFonts w:ascii="Calibri" w:eastAsia="Gulim" w:hAnsi="Calibri" w:hint="eastAsia"/>
                <w:color w:val="1F497D"/>
                <w:lang w:val="en-US"/>
              </w:rPr>
            </w:pPr>
            <w:r>
              <w:rPr>
                <w:rFonts w:ascii="Calibri" w:hAnsi="Calibri"/>
                <w:color w:val="FF0000"/>
                <w:lang w:val="en-US"/>
              </w:rPr>
              <w:t>I am not sure I understand your point. Could you clarify and/or propose a change?</w:t>
            </w:r>
          </w:p>
        </w:tc>
      </w:tr>
    </w:tbl>
    <w:p w14:paraId="043A4258" w14:textId="77777777" w:rsidR="006B24EB" w:rsidRPr="0026223B" w:rsidRDefault="006B24EB" w:rsidP="006B24EB">
      <w:pPr>
        <w:spacing w:after="0" w:line="240" w:lineRule="auto"/>
        <w:ind w:right="300"/>
        <w:rPr>
          <w:lang w:val="en-US"/>
        </w:rPr>
      </w:pPr>
    </w:p>
    <w:p w14:paraId="4A0FE40A" w14:textId="77777777" w:rsidR="006B24EB" w:rsidRPr="000124D2" w:rsidRDefault="006B24EB" w:rsidP="006B24EB">
      <w:pPr>
        <w:pStyle w:val="Heading2"/>
      </w:pPr>
      <w:r>
        <w:t xml:space="preserve">Issue 3 - </w:t>
      </w:r>
      <w:r w:rsidRPr="000124D2">
        <w:t>1.4 HARQ reporting to gNB</w:t>
      </w:r>
    </w:p>
    <w:p w14:paraId="3EB94652" w14:textId="77777777" w:rsidR="006B24EB" w:rsidRDefault="006B24EB" w:rsidP="006B24EB">
      <w:pPr>
        <w:pStyle w:val="Heading3"/>
        <w:rPr>
          <w:rFonts w:ascii="Calibri" w:hAnsi="Calibri" w:cs="Calibri"/>
          <w:lang w:eastAsia="fi-FI"/>
        </w:rPr>
      </w:pPr>
      <w:r>
        <w:t>Q1: For groupcast option 1, what should the TX UE report to the gNB in the cases when it does not transmit or receive due to prioritization?</w:t>
      </w:r>
    </w:p>
    <w:tbl>
      <w:tblPr>
        <w:tblW w:w="0" w:type="auto"/>
        <w:tblCellMar>
          <w:left w:w="0" w:type="dxa"/>
          <w:right w:w="0" w:type="dxa"/>
        </w:tblCellMar>
        <w:tblLook w:val="04A0" w:firstRow="1" w:lastRow="0" w:firstColumn="1" w:lastColumn="0" w:noHBand="0" w:noVBand="1"/>
      </w:tblPr>
      <w:tblGrid>
        <w:gridCol w:w="1550"/>
        <w:gridCol w:w="8069"/>
      </w:tblGrid>
      <w:tr w:rsidR="006B24EB" w14:paraId="439D7C52" w14:textId="77777777" w:rsidTr="006B24EB">
        <w:trPr>
          <w:trHeight w:val="456"/>
        </w:trPr>
        <w:tc>
          <w:tcPr>
            <w:tcW w:w="0" w:type="auto"/>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3D8961B" w14:textId="77777777" w:rsidR="006B24EB" w:rsidRDefault="006B24EB">
            <w:pPr>
              <w:jc w:val="center"/>
              <w:rPr>
                <w:rFonts w:ascii="Times New Roman" w:eastAsia="MS PGothic" w:hAnsi="Times New Roman" w:cs="Times New Roman"/>
                <w:sz w:val="24"/>
                <w:szCs w:val="24"/>
                <w:lang w:eastAsia="fi-FI"/>
              </w:rPr>
            </w:pPr>
            <w:r>
              <w:rPr>
                <w:rFonts w:ascii="Calibri" w:hAnsi="Calibri"/>
                <w:b/>
                <w:bCs/>
              </w:rPr>
              <w:t>Company</w:t>
            </w:r>
          </w:p>
        </w:tc>
        <w:tc>
          <w:tcPr>
            <w:tcW w:w="0" w:type="auto"/>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70345E7" w14:textId="77777777" w:rsidR="006B24EB" w:rsidRDefault="006B24EB">
            <w:pPr>
              <w:jc w:val="center"/>
              <w:rPr>
                <w:rFonts w:ascii="Times New Roman" w:hAnsi="Times New Roman" w:cs="Times New Roman"/>
              </w:rPr>
            </w:pPr>
            <w:r>
              <w:rPr>
                <w:rFonts w:ascii="Calibri" w:hAnsi="Calibri"/>
                <w:b/>
                <w:bCs/>
                <w:color w:val="000000"/>
              </w:rPr>
              <w:t>View</w:t>
            </w:r>
          </w:p>
        </w:tc>
      </w:tr>
      <w:tr w:rsidR="006B24EB" w14:paraId="449C724B" w14:textId="77777777" w:rsidTr="006B24EB">
        <w:trPr>
          <w:trHeight w:val="5819"/>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7219F" w14:textId="77777777" w:rsidR="006B24EB" w:rsidRDefault="006B24EB">
            <w:pPr>
              <w:rPr>
                <w:rFonts w:ascii="Times New Roman" w:hAnsi="Times New Roman" w:cs="Times New Roman"/>
              </w:rPr>
            </w:pPr>
            <w:r>
              <w:rPr>
                <w:rFonts w:ascii="Calibri" w:hAnsi="Calibri"/>
              </w:rPr>
              <w:t>Panasonic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917D59" w14:textId="77777777" w:rsidR="006B24EB" w:rsidRDefault="006B24EB">
            <w:pPr>
              <w:rPr>
                <w:rFonts w:ascii="Times New Roman" w:hAnsi="Times New Roman" w:cs="Times New Roman"/>
              </w:rPr>
            </w:pPr>
            <w:r>
              <w:rPr>
                <w:rFonts w:ascii="Calibri" w:hAnsi="Calibri"/>
              </w:rPr>
              <w:t>On Q1, although the question was asked specific to groupcast option 1, I wondered why "not transmit or receive due to prioritization" is only specific to group cast option 1. It can happen in broadcast/group cast option 2/unicast/configured grant also? If so and if agreeable, following can mean more progress. On the other hand, it is beyond the original question. Therefore, just to stick to original scope is also ok to me.</w:t>
            </w:r>
          </w:p>
          <w:p w14:paraId="678275BA" w14:textId="77777777" w:rsidR="006B24EB" w:rsidRDefault="006B24EB">
            <w:pPr>
              <w:rPr>
                <w:rFonts w:ascii="Times New Roman" w:hAnsi="Times New Roman" w:cs="Times New Roman"/>
              </w:rPr>
            </w:pPr>
            <w:r>
              <w:rPr>
                <w:rFonts w:ascii="Calibri" w:hAnsi="Calibri"/>
                <w:strike/>
                <w:color w:val="FF0000"/>
              </w:rPr>
              <w:t>For groupcast option 1,</w:t>
            </w:r>
            <w:r>
              <w:rPr>
                <w:rStyle w:val="apple-converted-space"/>
                <w:rFonts w:ascii="Calibri" w:hAnsi="Calibri"/>
                <w:strike/>
                <w:color w:val="FF0000"/>
              </w:rPr>
              <w:t> </w:t>
            </w:r>
            <w:r>
              <w:rPr>
                <w:rFonts w:ascii="Calibri" w:hAnsi="Calibri"/>
              </w:rPr>
              <w:t>the TX UE reports NACK to the gNB in the cases when it does not transmit or receive the corresponding PSCCH/PSSCH due to prioritization.</w:t>
            </w:r>
          </w:p>
          <w:p w14:paraId="12EB5BD5" w14:textId="77777777" w:rsidR="006B24EB" w:rsidRDefault="006B24EB">
            <w:pPr>
              <w:rPr>
                <w:rFonts w:ascii="Times New Roman" w:hAnsi="Times New Roman" w:cs="Times New Roman"/>
              </w:rPr>
            </w:pPr>
            <w:r>
              <w:rPr>
                <w:rFonts w:ascii="Calibri" w:hAnsi="Calibri"/>
              </w:rPr>
              <w:t> </w:t>
            </w:r>
          </w:p>
          <w:p w14:paraId="6A2EA623" w14:textId="77777777" w:rsidR="006B24EB" w:rsidRDefault="006B24EB">
            <w:pPr>
              <w:rPr>
                <w:rFonts w:ascii="Times New Roman" w:hAnsi="Times New Roman" w:cs="Times New Roman"/>
              </w:rPr>
            </w:pPr>
            <w:r>
              <w:rPr>
                <w:rFonts w:ascii="Calibri" w:hAnsi="Calibri"/>
                <w:b/>
                <w:bCs/>
                <w:color w:val="FF0000"/>
              </w:rPr>
              <w:t>FL reply:</w:t>
            </w:r>
          </w:p>
          <w:p w14:paraId="1AA8698E" w14:textId="77777777" w:rsidR="006B24EB" w:rsidRDefault="006B24EB">
            <w:pPr>
              <w:rPr>
                <w:rFonts w:ascii="Times New Roman" w:hAnsi="Times New Roman" w:cs="Times New Roman"/>
              </w:rPr>
            </w:pPr>
            <w:r>
              <w:rPr>
                <w:rFonts w:ascii="Calibri" w:hAnsi="Calibri"/>
                <w:color w:val="FF0000"/>
              </w:rPr>
              <w:t> </w:t>
            </w:r>
          </w:p>
          <w:p w14:paraId="49E62216" w14:textId="77777777" w:rsidR="006B24EB" w:rsidRDefault="006B24EB">
            <w:pPr>
              <w:rPr>
                <w:rFonts w:ascii="Times New Roman" w:hAnsi="Times New Roman" w:cs="Times New Roman"/>
              </w:rPr>
            </w:pPr>
            <w:r>
              <w:rPr>
                <w:rFonts w:ascii="Calibri" w:hAnsi="Calibri"/>
                <w:color w:val="FF0000"/>
              </w:rPr>
              <w:t>The FFS in [98b-NR-12] was captured only for groupcast option 1. If I am not mistaken the logic was that unicast and groupcast option 2 were already covered by the existing agreements:</w:t>
            </w:r>
          </w:p>
          <w:p w14:paraId="1CB673FF" w14:textId="77777777" w:rsidR="006B24EB" w:rsidRDefault="006B24EB">
            <w:pPr>
              <w:spacing w:line="252" w:lineRule="atLeast"/>
              <w:ind w:hanging="360"/>
              <w:rPr>
                <w:rFonts w:ascii="Times New Roman" w:hAnsi="Times New Roman" w:cs="Times New Roman"/>
              </w:rPr>
            </w:pPr>
            <w:r>
              <w:rPr>
                <w:rFonts w:ascii="Symbol" w:hAnsi="Symbol"/>
                <w:color w:val="FF0000"/>
                <w:sz w:val="20"/>
                <w:szCs w:val="20"/>
              </w:rPr>
              <w:t></w:t>
            </w:r>
            <w:r>
              <w:rPr>
                <w:rFonts w:ascii="Times New Roman" w:hAnsi="Times New Roman" w:cs="Times New Roman"/>
                <w:color w:val="FF0000"/>
                <w:sz w:val="14"/>
                <w:szCs w:val="14"/>
              </w:rPr>
              <w:t>       </w:t>
            </w:r>
            <w:r>
              <w:rPr>
                <w:rStyle w:val="apple-converted-space"/>
                <w:rFonts w:ascii="Times New Roman" w:hAnsi="Times New Roman" w:cs="Times New Roman"/>
                <w:color w:val="FF0000"/>
                <w:sz w:val="14"/>
                <w:szCs w:val="14"/>
              </w:rPr>
              <w:t> </w:t>
            </w:r>
            <w:r>
              <w:rPr>
                <w:rFonts w:ascii="Calibri" w:hAnsi="Calibri"/>
                <w:color w:val="FF0000"/>
              </w:rPr>
              <w:t>For unicast it was already agreed that “TX UE reports NACK if PSFCH is not detected”</w:t>
            </w:r>
          </w:p>
          <w:p w14:paraId="1E8CB47D" w14:textId="77777777" w:rsidR="006B24EB" w:rsidRDefault="006B24EB">
            <w:pPr>
              <w:spacing w:line="252" w:lineRule="atLeast"/>
              <w:ind w:hanging="360"/>
              <w:rPr>
                <w:rFonts w:ascii="Times New Roman" w:hAnsi="Times New Roman" w:cs="Times New Roman"/>
              </w:rPr>
            </w:pPr>
            <w:r>
              <w:rPr>
                <w:rFonts w:ascii="Symbol" w:hAnsi="Symbol"/>
                <w:color w:val="FF0000"/>
                <w:sz w:val="20"/>
                <w:szCs w:val="20"/>
              </w:rPr>
              <w:t></w:t>
            </w:r>
            <w:r>
              <w:rPr>
                <w:rFonts w:ascii="Times New Roman" w:hAnsi="Times New Roman" w:cs="Times New Roman"/>
                <w:color w:val="FF0000"/>
                <w:sz w:val="14"/>
                <w:szCs w:val="14"/>
              </w:rPr>
              <w:t>       </w:t>
            </w:r>
            <w:r>
              <w:rPr>
                <w:rStyle w:val="apple-converted-space"/>
                <w:rFonts w:ascii="Times New Roman" w:hAnsi="Times New Roman" w:cs="Times New Roman"/>
                <w:color w:val="FF0000"/>
                <w:sz w:val="14"/>
                <w:szCs w:val="14"/>
              </w:rPr>
              <w:t> </w:t>
            </w:r>
            <w:r>
              <w:rPr>
                <w:rFonts w:ascii="Calibri" w:hAnsi="Calibri"/>
                <w:color w:val="FF0000"/>
              </w:rPr>
              <w:t>For groupcast option 2, we already agreed that “TX UE reports NACK if at least one received PSFCH resource carries NACK or if no PSFCH is detected.”</w:t>
            </w:r>
          </w:p>
          <w:p w14:paraId="16F4D164" w14:textId="77777777" w:rsidR="006B24EB" w:rsidRDefault="006B24EB">
            <w:pPr>
              <w:spacing w:line="252" w:lineRule="atLeast"/>
              <w:ind w:hanging="360"/>
              <w:rPr>
                <w:rFonts w:ascii="Times New Roman" w:hAnsi="Times New Roman" w:cs="Times New Roman"/>
              </w:rPr>
            </w:pPr>
            <w:r>
              <w:rPr>
                <w:rFonts w:ascii="Symbol" w:hAnsi="Symbol"/>
                <w:color w:val="FF0000"/>
                <w:sz w:val="20"/>
                <w:szCs w:val="20"/>
              </w:rPr>
              <w:t></w:t>
            </w:r>
            <w:r>
              <w:rPr>
                <w:rFonts w:ascii="Times New Roman" w:hAnsi="Times New Roman" w:cs="Times New Roman"/>
                <w:color w:val="FF0000"/>
                <w:sz w:val="14"/>
                <w:szCs w:val="14"/>
              </w:rPr>
              <w:t>       </w:t>
            </w:r>
            <w:r>
              <w:rPr>
                <w:rStyle w:val="apple-converted-space"/>
                <w:rFonts w:ascii="Times New Roman" w:hAnsi="Times New Roman" w:cs="Times New Roman"/>
                <w:color w:val="FF0000"/>
                <w:sz w:val="14"/>
                <w:szCs w:val="14"/>
              </w:rPr>
              <w:t> </w:t>
            </w:r>
            <w:r>
              <w:rPr>
                <w:rFonts w:ascii="Calibri" w:hAnsi="Calibri"/>
                <w:color w:val="FF0000"/>
              </w:rPr>
              <w:t>For broadcast there is no HARQ feedback.</w:t>
            </w:r>
          </w:p>
          <w:p w14:paraId="4911A2B9" w14:textId="77777777" w:rsidR="006B24EB" w:rsidRDefault="006B24EB">
            <w:pPr>
              <w:rPr>
                <w:rFonts w:ascii="Times New Roman" w:hAnsi="Times New Roman" w:cs="Times New Roman"/>
              </w:rPr>
            </w:pPr>
            <w:r>
              <w:rPr>
                <w:rFonts w:ascii="Calibri" w:hAnsi="Calibri"/>
                <w:color w:val="FF0000"/>
              </w:rPr>
              <w:t>In any case, if there are no objections, we can clarify this</w:t>
            </w:r>
          </w:p>
        </w:tc>
      </w:tr>
      <w:tr w:rsidR="006B24EB" w14:paraId="3F4DBC6A" w14:textId="77777777" w:rsidTr="006B24EB">
        <w:trPr>
          <w:trHeight w:val="27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96DFB" w14:textId="77777777" w:rsidR="006B24EB" w:rsidRDefault="006B24EB">
            <w:pPr>
              <w:rPr>
                <w:rFonts w:ascii="Times New Roman" w:hAnsi="Times New Roman" w:cs="Times New Roman"/>
              </w:rPr>
            </w:pPr>
            <w:r>
              <w:rPr>
                <w:rFonts w:ascii="Calibri" w:hAnsi="Calibri"/>
              </w:rPr>
              <w:t>Lenovo/MoTM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5CFBA4" w14:textId="77777777" w:rsidR="006B24EB" w:rsidRDefault="006B24EB">
            <w:pPr>
              <w:rPr>
                <w:rFonts w:ascii="Times New Roman" w:hAnsi="Times New Roman" w:cs="Times New Roman"/>
              </w:rPr>
            </w:pPr>
            <w:r>
              <w:rPr>
                <w:rFonts w:ascii="Calibri" w:hAnsi="Calibri"/>
              </w:rPr>
              <w:t>Q1 and Q4 are similar cases and does not require different UE behaviour, does not transmit also includes cases due to prioritization. So we prefer to transmit ACK to gNB.</w:t>
            </w:r>
          </w:p>
          <w:p w14:paraId="3A2EAB07" w14:textId="77777777" w:rsidR="006B24EB" w:rsidRDefault="006B24EB">
            <w:pPr>
              <w:rPr>
                <w:rFonts w:ascii="Times New Roman" w:hAnsi="Times New Roman" w:cs="Times New Roman"/>
              </w:rPr>
            </w:pPr>
            <w:r>
              <w:rPr>
                <w:rFonts w:ascii="Calibri" w:hAnsi="Calibri"/>
              </w:rPr>
              <w:t> </w:t>
            </w:r>
          </w:p>
          <w:p w14:paraId="2B640D7A" w14:textId="77777777" w:rsidR="006B24EB" w:rsidRDefault="006B24EB">
            <w:pPr>
              <w:rPr>
                <w:rFonts w:ascii="Times New Roman" w:hAnsi="Times New Roman" w:cs="Times New Roman"/>
              </w:rPr>
            </w:pPr>
            <w:r>
              <w:rPr>
                <w:rFonts w:ascii="Calibri" w:hAnsi="Calibri"/>
                <w:b/>
                <w:bCs/>
                <w:color w:val="FF0000"/>
              </w:rPr>
              <w:t>FL reply:</w:t>
            </w:r>
          </w:p>
          <w:p w14:paraId="3865C44F" w14:textId="77777777" w:rsidR="006B24EB" w:rsidRDefault="006B24EB">
            <w:pPr>
              <w:rPr>
                <w:rFonts w:ascii="Times New Roman" w:hAnsi="Times New Roman" w:cs="Times New Roman"/>
              </w:rPr>
            </w:pPr>
            <w:r>
              <w:rPr>
                <w:rFonts w:ascii="Calibri" w:hAnsi="Calibri"/>
                <w:color w:val="FF0000"/>
              </w:rPr>
              <w:t> </w:t>
            </w:r>
          </w:p>
          <w:p w14:paraId="3328CD03" w14:textId="77777777" w:rsidR="006B24EB" w:rsidRDefault="006B24EB">
            <w:pPr>
              <w:rPr>
                <w:rFonts w:ascii="Times New Roman" w:hAnsi="Times New Roman" w:cs="Times New Roman"/>
              </w:rPr>
            </w:pPr>
            <w:r>
              <w:rPr>
                <w:rFonts w:ascii="Calibri" w:hAnsi="Calibri"/>
                <w:color w:val="FF0000"/>
              </w:rPr>
              <w:t>See my reply to ZTE in Q4 and the changes to that proposal. In any case, I think that there is an important difference between having a TB and not transmitting it because of priorities and not having a TB at all.</w:t>
            </w:r>
          </w:p>
        </w:tc>
      </w:tr>
      <w:tr w:rsidR="006B24EB" w14:paraId="73E771BB" w14:textId="77777777" w:rsidTr="006B24EB">
        <w:trPr>
          <w:trHeight w:val="501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1FD8F" w14:textId="77777777" w:rsidR="006B24EB" w:rsidRDefault="006B24EB">
            <w:pPr>
              <w:rPr>
                <w:rFonts w:ascii="Times New Roman" w:hAnsi="Times New Roman" w:cs="Times New Roman"/>
              </w:rPr>
            </w:pPr>
            <w:r>
              <w:rPr>
                <w:rFonts w:ascii="Calibri" w:hAnsi="Calibri"/>
              </w:rPr>
              <w:t>LGE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A922A1" w14:textId="77777777" w:rsidR="006B24EB" w:rsidRDefault="006B24EB">
            <w:pPr>
              <w:rPr>
                <w:rFonts w:ascii="Times New Roman" w:hAnsi="Times New Roman" w:cs="Times New Roman"/>
              </w:rPr>
            </w:pPr>
            <w:r>
              <w:rPr>
                <w:rFonts w:ascii="Calibri" w:hAnsi="Calibri"/>
                <w:color w:val="1F497D"/>
              </w:rPr>
              <w:t>On Q1, I’d like to clarify what it means “</w:t>
            </w:r>
            <w:r>
              <w:rPr>
                <w:rFonts w:ascii="Calibri" w:hAnsi="Calibri"/>
                <w:b/>
                <w:bCs/>
              </w:rPr>
              <w:t>the cases when it does not transmit</w:t>
            </w:r>
            <w:r>
              <w:rPr>
                <w:rFonts w:ascii="Calibri" w:hAnsi="Calibri"/>
                <w:color w:val="1F497D"/>
              </w:rPr>
              <w:t>”? Does is mean that a TX UE drops PSSCH due to e.g. UL-SL prioritization? Similarly, what it means “</w:t>
            </w:r>
            <w:r>
              <w:rPr>
                <w:rFonts w:ascii="Calibri" w:hAnsi="Calibri"/>
                <w:b/>
                <w:bCs/>
              </w:rPr>
              <w:t>the cases when it does not receive</w:t>
            </w:r>
            <w:r>
              <w:rPr>
                <w:rFonts w:ascii="Calibri" w:hAnsi="Calibri"/>
                <w:color w:val="1F497D"/>
              </w:rPr>
              <w:t>”? Does it mean that a TX UE drops PSFCH reception due to prioritization between PSFCH TX and PSFCH RX? If yes, we need to update proposal as follows:</w:t>
            </w:r>
          </w:p>
          <w:p w14:paraId="7DA23F7E" w14:textId="77777777" w:rsidR="006B24EB" w:rsidRDefault="006B24EB">
            <w:pPr>
              <w:rPr>
                <w:rFonts w:ascii="Times New Roman" w:hAnsi="Times New Roman" w:cs="Times New Roman"/>
              </w:rPr>
            </w:pPr>
            <w:r>
              <w:rPr>
                <w:rFonts w:ascii="Calibri" w:hAnsi="Calibri"/>
                <w:color w:val="1F497D"/>
              </w:rPr>
              <w:t> </w:t>
            </w:r>
          </w:p>
          <w:p w14:paraId="546AD024" w14:textId="77777777" w:rsidR="006B24EB" w:rsidRDefault="006B24EB">
            <w:pPr>
              <w:rPr>
                <w:rFonts w:ascii="Times New Roman" w:hAnsi="Times New Roman" w:cs="Times New Roman"/>
              </w:rPr>
            </w:pPr>
            <w:r>
              <w:rPr>
                <w:rFonts w:ascii="Calibri" w:hAnsi="Calibri"/>
                <w:b/>
                <w:bCs/>
              </w:rPr>
              <w:t>Proposal</w:t>
            </w:r>
            <w:r>
              <w:rPr>
                <w:rFonts w:ascii="Calibri" w:hAnsi="Calibri"/>
              </w:rPr>
              <w:t>: For groupcast option 1, the TX UE reports NACK to the gNB in the cases when it does not transmit</w:t>
            </w:r>
            <w:r>
              <w:rPr>
                <w:rStyle w:val="apple-converted-space"/>
                <w:rFonts w:ascii="Calibri" w:hAnsi="Calibri"/>
              </w:rPr>
              <w:t> </w:t>
            </w:r>
            <w:r>
              <w:rPr>
                <w:rFonts w:ascii="Calibri" w:hAnsi="Calibri"/>
                <w:strike/>
                <w:color w:val="FF0000"/>
              </w:rPr>
              <w:t>or receive</w:t>
            </w:r>
            <w:r>
              <w:rPr>
                <w:rStyle w:val="apple-converted-space"/>
                <w:rFonts w:ascii="Calibri" w:hAnsi="Calibri"/>
              </w:rPr>
              <w:t> </w:t>
            </w:r>
            <w:r>
              <w:rPr>
                <w:rFonts w:ascii="Calibri" w:hAnsi="Calibri"/>
              </w:rPr>
              <w:t>the corresponding PSCCH/PSSCH due to prioritization.</w:t>
            </w:r>
          </w:p>
          <w:p w14:paraId="20BFC93A" w14:textId="77777777" w:rsidR="006B24EB" w:rsidRDefault="006B24EB">
            <w:pPr>
              <w:rPr>
                <w:rFonts w:ascii="Times New Roman" w:hAnsi="Times New Roman" w:cs="Times New Roman"/>
              </w:rPr>
            </w:pPr>
            <w:r>
              <w:rPr>
                <w:rFonts w:ascii="Calibri" w:hAnsi="Calibri"/>
                <w:b/>
                <w:bCs/>
                <w:color w:val="FF0000"/>
              </w:rPr>
              <w:t>Proposal</w:t>
            </w:r>
            <w:r>
              <w:rPr>
                <w:rFonts w:ascii="Calibri" w:hAnsi="Calibri"/>
                <w:color w:val="FF0000"/>
              </w:rPr>
              <w:t>: For groupcast option 1, the TX UE reports NACK to the gNB in the cases when it does not receive the corresponding PSFCH due to prioritization</w:t>
            </w:r>
          </w:p>
          <w:p w14:paraId="789768DE" w14:textId="77777777" w:rsidR="006B24EB" w:rsidRDefault="006B24EB">
            <w:pPr>
              <w:rPr>
                <w:rFonts w:ascii="Times New Roman" w:hAnsi="Times New Roman" w:cs="Times New Roman"/>
              </w:rPr>
            </w:pPr>
            <w:r>
              <w:rPr>
                <w:rFonts w:ascii="Calibri" w:hAnsi="Calibri"/>
                <w:color w:val="FF0000"/>
              </w:rPr>
              <w:t> </w:t>
            </w:r>
          </w:p>
          <w:p w14:paraId="639F12B1" w14:textId="77777777" w:rsidR="006B24EB" w:rsidRDefault="006B24EB">
            <w:pPr>
              <w:rPr>
                <w:rFonts w:ascii="Times New Roman" w:hAnsi="Times New Roman" w:cs="Times New Roman"/>
              </w:rPr>
            </w:pPr>
            <w:r>
              <w:rPr>
                <w:rFonts w:ascii="Calibri" w:hAnsi="Calibri"/>
                <w:b/>
                <w:bCs/>
                <w:color w:val="FF0000"/>
              </w:rPr>
              <w:t>FL reply:</w:t>
            </w:r>
          </w:p>
          <w:p w14:paraId="689D0EDA" w14:textId="77777777" w:rsidR="006B24EB" w:rsidRDefault="006B24EB">
            <w:pPr>
              <w:rPr>
                <w:rFonts w:ascii="Times New Roman" w:hAnsi="Times New Roman" w:cs="Times New Roman"/>
              </w:rPr>
            </w:pPr>
            <w:r>
              <w:rPr>
                <w:rFonts w:ascii="Calibri" w:hAnsi="Calibri"/>
                <w:color w:val="FF0000"/>
                <w:lang w:val="en-GB"/>
              </w:rPr>
              <w:t> </w:t>
            </w:r>
          </w:p>
          <w:p w14:paraId="6C4FB961" w14:textId="77777777" w:rsidR="006B24EB" w:rsidRDefault="006B24EB">
            <w:pPr>
              <w:rPr>
                <w:rFonts w:ascii="Times New Roman" w:hAnsi="Times New Roman" w:cs="Times New Roman"/>
              </w:rPr>
            </w:pPr>
            <w:r>
              <w:rPr>
                <w:rFonts w:ascii="Calibri" w:hAnsi="Calibri"/>
                <w:color w:val="FF0000"/>
              </w:rPr>
              <w:t>You have a point. I guess we need to clarify that prioritization could affect PSCCH/PSSCH transmission of PSFCH reception.</w:t>
            </w:r>
          </w:p>
          <w:p w14:paraId="4987A590" w14:textId="77777777" w:rsidR="006B24EB" w:rsidRDefault="006B24EB">
            <w:pPr>
              <w:rPr>
                <w:rFonts w:ascii="Times New Roman" w:hAnsi="Times New Roman" w:cs="Times New Roman"/>
              </w:rPr>
            </w:pPr>
            <w:r>
              <w:rPr>
                <w:rFonts w:ascii="Calibri" w:hAnsi="Calibri"/>
                <w:color w:val="FF0000"/>
              </w:rPr>
              <w:t>See my updated proposal.</w:t>
            </w:r>
          </w:p>
        </w:tc>
      </w:tr>
      <w:tr w:rsidR="006B24EB" w14:paraId="5CC40F59" w14:textId="77777777" w:rsidTr="006B24EB">
        <w:trPr>
          <w:trHeight w:val="228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30CC5" w14:textId="77777777" w:rsidR="006B24EB" w:rsidRDefault="006B24EB">
            <w:pPr>
              <w:rPr>
                <w:rFonts w:ascii="Times New Roman" w:hAnsi="Times New Roman" w:cs="Times New Roman"/>
              </w:rPr>
            </w:pPr>
            <w:r>
              <w:rPr>
                <w:rFonts w:ascii="Calibri" w:hAnsi="Calibri"/>
              </w:rPr>
              <w:t>Intel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0DA288" w14:textId="77777777" w:rsidR="006B24EB" w:rsidRDefault="006B24EB">
            <w:pPr>
              <w:rPr>
                <w:rFonts w:ascii="Times New Roman" w:hAnsi="Times New Roman" w:cs="Times New Roman"/>
              </w:rPr>
            </w:pPr>
            <w:r>
              <w:rPr>
                <w:rFonts w:ascii="Calibri" w:hAnsi="Calibri"/>
              </w:rPr>
              <w:t>For Q1, we second Daesung’s correction, since it was the original understanding around Q1 discussion. Furthermore, it could be generalized as suggested by Suzuki.</w:t>
            </w:r>
          </w:p>
          <w:p w14:paraId="4F210164" w14:textId="77777777" w:rsidR="006B24EB" w:rsidRDefault="006B24EB">
            <w:pPr>
              <w:rPr>
                <w:rFonts w:ascii="Times New Roman" w:hAnsi="Times New Roman" w:cs="Times New Roman"/>
              </w:rPr>
            </w:pPr>
            <w:r>
              <w:rPr>
                <w:rFonts w:ascii="Calibri" w:hAnsi="Calibri"/>
                <w:color w:val="1F497D"/>
              </w:rPr>
              <w:t> </w:t>
            </w:r>
          </w:p>
          <w:p w14:paraId="403F25D5" w14:textId="77777777" w:rsidR="006B24EB" w:rsidRDefault="006B24EB">
            <w:pPr>
              <w:rPr>
                <w:rFonts w:ascii="Times New Roman" w:hAnsi="Times New Roman" w:cs="Times New Roman"/>
              </w:rPr>
            </w:pPr>
            <w:r>
              <w:rPr>
                <w:rFonts w:ascii="Calibri" w:hAnsi="Calibri"/>
                <w:b/>
                <w:bCs/>
                <w:color w:val="FF0000"/>
              </w:rPr>
              <w:t>FL reply:</w:t>
            </w:r>
          </w:p>
          <w:p w14:paraId="519B2150" w14:textId="77777777" w:rsidR="006B24EB" w:rsidRDefault="006B24EB">
            <w:pPr>
              <w:rPr>
                <w:rFonts w:ascii="Times New Roman" w:hAnsi="Times New Roman" w:cs="Times New Roman"/>
              </w:rPr>
            </w:pPr>
            <w:r>
              <w:rPr>
                <w:rFonts w:ascii="Calibri" w:hAnsi="Calibri"/>
                <w:color w:val="FF0000"/>
                <w:lang w:val="en-GB"/>
              </w:rPr>
              <w:t> </w:t>
            </w:r>
          </w:p>
          <w:p w14:paraId="4759D819" w14:textId="77777777" w:rsidR="006B24EB" w:rsidRDefault="006B24EB">
            <w:pPr>
              <w:rPr>
                <w:rFonts w:ascii="Times New Roman" w:hAnsi="Times New Roman" w:cs="Times New Roman"/>
              </w:rPr>
            </w:pPr>
            <w:r>
              <w:rPr>
                <w:rFonts w:ascii="Calibri" w:hAnsi="Calibri"/>
                <w:color w:val="FF0000"/>
              </w:rPr>
              <w:t>See my reply to Panasonic and LGE.</w:t>
            </w:r>
          </w:p>
        </w:tc>
      </w:tr>
      <w:tr w:rsidR="006B24EB" w14:paraId="2A0DAF18" w14:textId="77777777" w:rsidTr="006B24EB">
        <w:trPr>
          <w:trHeight w:val="364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DA21F" w14:textId="77777777" w:rsidR="006B24EB" w:rsidRDefault="006B24EB">
            <w:pPr>
              <w:rPr>
                <w:rFonts w:ascii="Times New Roman" w:hAnsi="Times New Roman" w:cs="Times New Roman"/>
              </w:rPr>
            </w:pPr>
            <w:r>
              <w:rPr>
                <w:rFonts w:ascii="Calibri" w:hAnsi="Calibri"/>
              </w:rPr>
              <w:t>OPPO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916278" w14:textId="77777777" w:rsidR="006B24EB" w:rsidRDefault="006B24EB">
            <w:pPr>
              <w:rPr>
                <w:rFonts w:ascii="Times New Roman" w:hAnsi="Times New Roman" w:cs="Times New Roman"/>
              </w:rPr>
            </w:pPr>
            <w:r>
              <w:rPr>
                <w:rFonts w:ascii="Calibri" w:hAnsi="Calibri"/>
              </w:rPr>
              <w:t>Generally, we are fine with the proposal. While some clarification is needed.</w:t>
            </w:r>
          </w:p>
          <w:p w14:paraId="107B5BF4" w14:textId="77777777" w:rsidR="006B24EB" w:rsidRDefault="006B24EB">
            <w:pPr>
              <w:rPr>
                <w:rFonts w:ascii="Times New Roman" w:hAnsi="Times New Roman" w:cs="Times New Roman"/>
              </w:rPr>
            </w:pPr>
            <w:r>
              <w:rPr>
                <w:rFonts w:ascii="Calibri" w:hAnsi="Calibri"/>
              </w:rPr>
              <w:t>According to the wording, I can interpret that TX UE need to report NACK to gNB if PSCCH/PSSCH is not transmitted. While if gNB allocates 3 SL resources to TX UE, only one of them is not transmitted, the other two resources are used for transmission. I think that the SL FB report should be based on the PSFCH received for the other transmissions.</w:t>
            </w:r>
          </w:p>
          <w:p w14:paraId="6783689E" w14:textId="77777777" w:rsidR="006B24EB" w:rsidRDefault="006B24EB">
            <w:pPr>
              <w:rPr>
                <w:rFonts w:ascii="Times New Roman" w:hAnsi="Times New Roman" w:cs="Times New Roman"/>
              </w:rPr>
            </w:pPr>
            <w:r>
              <w:rPr>
                <w:rFonts w:ascii="Calibri" w:hAnsi="Calibri"/>
              </w:rPr>
              <w:t> </w:t>
            </w:r>
          </w:p>
          <w:p w14:paraId="37517274" w14:textId="77777777" w:rsidR="006B24EB" w:rsidRDefault="006B24EB">
            <w:pPr>
              <w:rPr>
                <w:rFonts w:ascii="Times New Roman" w:hAnsi="Times New Roman" w:cs="Times New Roman"/>
              </w:rPr>
            </w:pPr>
            <w:r>
              <w:rPr>
                <w:rFonts w:ascii="Calibri" w:hAnsi="Calibri"/>
                <w:b/>
                <w:bCs/>
                <w:color w:val="FF0000"/>
              </w:rPr>
              <w:t>FL reply:</w:t>
            </w:r>
          </w:p>
          <w:p w14:paraId="4AA0AC0C" w14:textId="77777777" w:rsidR="006B24EB" w:rsidRDefault="006B24EB">
            <w:pPr>
              <w:rPr>
                <w:rFonts w:ascii="Times New Roman" w:hAnsi="Times New Roman" w:cs="Times New Roman"/>
              </w:rPr>
            </w:pPr>
            <w:r>
              <w:rPr>
                <w:rFonts w:ascii="Calibri" w:hAnsi="Calibri"/>
                <w:color w:val="FF0000"/>
              </w:rPr>
              <w:t> </w:t>
            </w:r>
          </w:p>
          <w:p w14:paraId="10F53562" w14:textId="77777777" w:rsidR="006B24EB" w:rsidRDefault="006B24EB">
            <w:pPr>
              <w:rPr>
                <w:rFonts w:ascii="Times New Roman" w:hAnsi="Times New Roman" w:cs="Times New Roman"/>
              </w:rPr>
            </w:pPr>
            <w:r>
              <w:rPr>
                <w:rFonts w:ascii="Calibri" w:hAnsi="Calibri"/>
                <w:color w:val="FF0000"/>
              </w:rPr>
              <w:t>I see your point. But if the UE transmits some PSCCH/PSSCH and receives the corresponding PSFCH, then it is clear what to report right (based on the contents of PSFCH). This is only necessary if the UE does not transmit at all, I would say.</w:t>
            </w:r>
          </w:p>
        </w:tc>
      </w:tr>
    </w:tbl>
    <w:p w14:paraId="00D79AE1" w14:textId="77777777" w:rsidR="006B24EB" w:rsidRDefault="006B24EB" w:rsidP="006B24EB">
      <w:pPr>
        <w:pStyle w:val="Heading3"/>
        <w:rPr>
          <w:rFonts w:ascii="Calibri" w:eastAsia="SimSun" w:hAnsi="Calibri" w:cs="Calibri"/>
        </w:rPr>
      </w:pPr>
      <w:r>
        <w:t xml:space="preserve">Q2: For groupcast option 2, what should the UE behavior be in the case where there are multiple PSFCHs corresponding to multiple PSCCH/PSSCH transmissions before generating the HARQ-ACK report. </w:t>
      </w:r>
    </w:p>
    <w:tbl>
      <w:tblPr>
        <w:tblW w:w="0" w:type="auto"/>
        <w:tblCellMar>
          <w:left w:w="0" w:type="dxa"/>
          <w:right w:w="0" w:type="dxa"/>
        </w:tblCellMar>
        <w:tblLook w:val="04A0" w:firstRow="1" w:lastRow="0" w:firstColumn="1" w:lastColumn="0" w:noHBand="0" w:noVBand="1"/>
      </w:tblPr>
      <w:tblGrid>
        <w:gridCol w:w="849"/>
        <w:gridCol w:w="8770"/>
      </w:tblGrid>
      <w:tr w:rsidR="006B24EB" w14:paraId="1C0BD68B" w14:textId="77777777" w:rsidTr="006B24EB">
        <w:trPr>
          <w:trHeight w:val="456"/>
        </w:trPr>
        <w:tc>
          <w:tcPr>
            <w:tcW w:w="0" w:type="auto"/>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3F96CB1" w14:textId="77777777" w:rsidR="006B24EB" w:rsidRDefault="006B24EB">
            <w:pPr>
              <w:spacing w:before="100" w:beforeAutospacing="1" w:after="100" w:afterAutospacing="1"/>
              <w:jc w:val="center"/>
              <w:rPr>
                <w:rFonts w:ascii="Times New Roman" w:eastAsia="MS PGothic" w:hAnsi="Times New Roman" w:cs="Times New Roman"/>
                <w:sz w:val="24"/>
                <w:szCs w:val="24"/>
                <w:lang w:eastAsia="fi-FI"/>
              </w:rPr>
            </w:pPr>
            <w:r>
              <w:rPr>
                <w:rFonts w:ascii="Times New Roman" w:hAnsi="Times New Roman" w:cs="Times New Roman"/>
                <w:b/>
                <w:bCs/>
              </w:rPr>
              <w:t>Company</w:t>
            </w:r>
          </w:p>
        </w:tc>
        <w:tc>
          <w:tcPr>
            <w:tcW w:w="0" w:type="auto"/>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2CBB5D7" w14:textId="77777777" w:rsidR="006B24EB" w:rsidRDefault="006B24EB">
            <w:pPr>
              <w:spacing w:before="100" w:beforeAutospacing="1" w:after="100" w:afterAutospacing="1"/>
              <w:jc w:val="center"/>
              <w:rPr>
                <w:rFonts w:ascii="Times New Roman" w:hAnsi="Times New Roman" w:cs="Times New Roman"/>
              </w:rPr>
            </w:pPr>
            <w:r>
              <w:rPr>
                <w:rFonts w:ascii="Times New Roman" w:hAnsi="Times New Roman" w:cs="Times New Roman"/>
                <w:b/>
                <w:bCs/>
                <w:color w:val="000000"/>
              </w:rPr>
              <w:t>View</w:t>
            </w:r>
          </w:p>
        </w:tc>
      </w:tr>
      <w:tr w:rsidR="006B24EB" w14:paraId="4450051E" w14:textId="77777777" w:rsidTr="006B24EB">
        <w:trPr>
          <w:trHeight w:val="3192"/>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25962"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Panasonic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9BB1A2"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On Q2, following modification would clarify this is the case of single TB.</w:t>
            </w:r>
          </w:p>
          <w:p w14:paraId="72FA740F"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For groupcast option 2 in the case where there are multiple PSFCHs corresponding to multiple PSCCH/PSSCH transmissions of </w:t>
            </w:r>
            <w:r>
              <w:rPr>
                <w:rFonts w:ascii="Times New Roman" w:hAnsi="Times New Roman" w:cs="Times New Roman"/>
                <w:color w:val="FF0000"/>
              </w:rPr>
              <w:t>single </w:t>
            </w:r>
            <w:r>
              <w:rPr>
                <w:rFonts w:ascii="Times New Roman" w:hAnsi="Times New Roman" w:cs="Times New Roman"/>
              </w:rPr>
              <w:t>TB, the TX UE reports ACK to the gNB if it receives ACK from all RX UEs. Otherwise, it reports NACK to the gNB.</w:t>
            </w:r>
          </w:p>
          <w:p w14:paraId="0D4345FC"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 </w:t>
            </w:r>
          </w:p>
          <w:p w14:paraId="68E082A0"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r>
              <w:rPr>
                <w:rFonts w:ascii="Times New Roman" w:hAnsi="Times New Roman" w:cs="Times New Roman"/>
                <w:color w:val="FF0000"/>
              </w:rPr>
              <w:t>:</w:t>
            </w:r>
          </w:p>
          <w:p w14:paraId="0800292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 </w:t>
            </w:r>
          </w:p>
          <w:p w14:paraId="0937FF7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You are right. I missed the word when typing the proposal.</w:t>
            </w:r>
          </w:p>
        </w:tc>
      </w:tr>
      <w:tr w:rsidR="006B24EB" w14:paraId="0C440F23" w14:textId="77777777" w:rsidTr="006B24EB">
        <w:trPr>
          <w:trHeight w:val="27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13307"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Futurewei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6F794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The way I understand the proposal, if a UE receives neither NACK nor ACK from another UE (because of e.g. interference, etc.), it would send a NACK to the gNB. Is my understanding correct?</w:t>
            </w:r>
          </w:p>
          <w:p w14:paraId="2D8D25B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 </w:t>
            </w:r>
          </w:p>
          <w:p w14:paraId="1AEC8D83"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r>
              <w:rPr>
                <w:rFonts w:ascii="Times New Roman" w:hAnsi="Times New Roman" w:cs="Times New Roman"/>
                <w:color w:val="FF0000"/>
              </w:rPr>
              <w:t>:</w:t>
            </w:r>
          </w:p>
          <w:p w14:paraId="7FFD9E9F"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 </w:t>
            </w:r>
          </w:p>
          <w:p w14:paraId="3FBB3744"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That is my understanding too.</w:t>
            </w:r>
          </w:p>
        </w:tc>
      </w:tr>
      <w:tr w:rsidR="006B24EB" w14:paraId="7D977EE8" w14:textId="77777777" w:rsidTr="006B24EB">
        <w:trPr>
          <w:trHeight w:val="230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5669E"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vivo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3E7804"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in this case, different RX UEs may reply ACK in different PSFCH occasions.  For example, there are two associated PSFCH occasions, RX UE1 feedbacks ACK at the both PSFCH occasion but TX UE fails to detect the second ACK from the RX UE1, while RX UE2 feedback NACK at the first PSFCH occasion and feedback ACK at the 2</w:t>
            </w:r>
            <w:r>
              <w:rPr>
                <w:rFonts w:ascii="Times New Roman" w:hAnsi="Times New Roman" w:cs="Times New Roman"/>
                <w:vertAlign w:val="superscript"/>
              </w:rPr>
              <w:t>nd</w:t>
            </w:r>
            <w:r>
              <w:rPr>
                <w:rFonts w:ascii="Times New Roman" w:hAnsi="Times New Roman" w:cs="Times New Roman"/>
              </w:rPr>
              <w:t> PSFCH occasion. In this case, ACK should be reported to gNB since TX UE has received ACK from all RX UE for the TB. So we prefer to clarify that:</w:t>
            </w:r>
          </w:p>
          <w:p w14:paraId="738F0944"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For groupcast option 2 in the case where there are multiple PSFCHs corresponding to multiple PSCCH/PSSCH transmissions of </w:t>
            </w:r>
            <w:r>
              <w:rPr>
                <w:rFonts w:ascii="Times New Roman" w:hAnsi="Times New Roman" w:cs="Times New Roman"/>
                <w:color w:val="FF0000"/>
              </w:rPr>
              <w:t>a single </w:t>
            </w:r>
            <w:r>
              <w:rPr>
                <w:rFonts w:ascii="Times New Roman" w:hAnsi="Times New Roman" w:cs="Times New Roman"/>
              </w:rPr>
              <w:t>TB, the TX UE reports ACK to the gNB if it receives ACK from all RX UEs </w:t>
            </w:r>
            <w:r>
              <w:rPr>
                <w:rFonts w:ascii="Times New Roman" w:hAnsi="Times New Roman" w:cs="Times New Roman"/>
                <w:color w:val="FF0000"/>
              </w:rPr>
              <w:t>at the same or different PSFCH occasions</w:t>
            </w:r>
            <w:r>
              <w:rPr>
                <w:rFonts w:ascii="Times New Roman" w:hAnsi="Times New Roman" w:cs="Times New Roman"/>
              </w:rPr>
              <w:t>. Otherwise, it reports NACK to the gNB.</w:t>
            </w:r>
            <w:r>
              <w:rPr>
                <w:rFonts w:ascii="Times New Roman" w:hAnsi="Times New Roman" w:cs="Times New Roman"/>
                <w:b/>
                <w:bCs/>
                <w:i/>
                <w:iCs/>
              </w:rPr>
              <w:t> </w:t>
            </w:r>
          </w:p>
          <w:p w14:paraId="51637169"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 </w:t>
            </w:r>
          </w:p>
          <w:p w14:paraId="6F029EC9"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p>
          <w:p w14:paraId="5292767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 </w:t>
            </w:r>
          </w:p>
          <w:p w14:paraId="57D7670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The proposal does not mention anywhere that all the ACKs must be received in the same PSFCH occasion. In my view, a TB that is ACKed by all RX UEs results in ACK being conveyed to the gNB, regarless of when the different RX UEs ACKed it.</w:t>
            </w:r>
          </w:p>
        </w:tc>
      </w:tr>
      <w:tr w:rsidR="006B24EB" w14:paraId="3EBDD397" w14:textId="77777777" w:rsidTr="006B24EB">
        <w:trPr>
          <w:trHeight w:val="230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C798D"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Lenovo/MoTM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FFE60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For a TB, TX UE reports ACK if it receives ACKs from all RX UEs otherwise report NACK</w:t>
            </w:r>
          </w:p>
          <w:p w14:paraId="452838D0"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For the case where a TB is repeated (which was explained by VIVO), then the RX UE reports ACK in all remaining PSFCH occasions to TX UE if anyone of the TB is correctly decoded.</w:t>
            </w:r>
          </w:p>
          <w:p w14:paraId="33186C17"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So in this case the recent result from the PSFCH occasion should be reported in PUCCH to gNB   </w:t>
            </w:r>
          </w:p>
          <w:p w14:paraId="4AF770BE"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NOTE: There is also a RX UE  behavior associated with this issue.</w:t>
            </w:r>
          </w:p>
          <w:p w14:paraId="11AD005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 </w:t>
            </w:r>
          </w:p>
          <w:p w14:paraId="34F1EE5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p>
          <w:p w14:paraId="4051E51C"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 </w:t>
            </w:r>
          </w:p>
          <w:p w14:paraId="20CF4B0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Thanks for your clarification. See also my reply to vivo.</w:t>
            </w:r>
          </w:p>
          <w:p w14:paraId="4B7DF594"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7030A0"/>
              </w:rPr>
              <w:t>Does that mean TX UE keeps in memory the last reply of RX UEs for every PSFCH occasions ? It will be challenging to implement such thing considering TX UE needs to remember for every PSFCH occasion all RX UEs results.. </w:t>
            </w:r>
          </w:p>
          <w:p w14:paraId="3A4304C9"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7030A0"/>
              </w:rPr>
              <w:t>Another simpler approach is that the RX UE can feedback ACK If they could not able to decode PSSCH in the remaining occasion but correctly decoded the same TB in the previous occasion. TX UE reports the recent PSFCH result in PUCCH.</w:t>
            </w:r>
          </w:p>
          <w:p w14:paraId="381B5A94"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1F497D"/>
              </w:rPr>
              <w:t> </w:t>
            </w:r>
          </w:p>
          <w:p w14:paraId="0C6EA527"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p>
          <w:p w14:paraId="0BC2844A"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I do not think that the TX </w:t>
            </w:r>
            <w:r>
              <w:rPr>
                <w:rFonts w:ascii="Times New Roman" w:hAnsi="Times New Roman" w:cs="Times New Roman"/>
              </w:rPr>
              <w:t>U</w:t>
            </w:r>
            <w:r>
              <w:rPr>
                <w:rFonts w:ascii="Times New Roman" w:hAnsi="Times New Roman" w:cs="Times New Roman"/>
                <w:color w:val="FF0000"/>
              </w:rPr>
              <w:t>E needs to store anything else except a list stating which RX UEs have ACKed the TB (at some point) and which have not. To me this sounds like the minimum a TX UE needs to implement for groupcast communication.</w:t>
            </w:r>
          </w:p>
          <w:p w14:paraId="4059CA6C"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0070C0"/>
              </w:rPr>
              <w:t>Lenovo/MoTM reply:</w:t>
            </w:r>
          </w:p>
          <w:p w14:paraId="4FB76C4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0070C0"/>
              </w:rPr>
              <w:t>Below illustrate the list, the TX UE should maintain for all RXUEs for every occasion which is complicated in our opinion. We are not in favor of this approach. Alternative approach as explained above does not require TX UE to maintain any such list.   </w:t>
            </w:r>
          </w:p>
          <w:p w14:paraId="4AC1878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 </w:t>
            </w:r>
          </w:p>
          <w:tbl>
            <w:tblPr>
              <w:tblW w:w="14402" w:type="dxa"/>
              <w:tblCellMar>
                <w:left w:w="0" w:type="dxa"/>
                <w:right w:w="0" w:type="dxa"/>
              </w:tblCellMar>
              <w:tblLook w:val="04A0" w:firstRow="1" w:lastRow="0" w:firstColumn="1" w:lastColumn="0" w:noHBand="0" w:noVBand="1"/>
            </w:tblPr>
            <w:tblGrid>
              <w:gridCol w:w="560"/>
              <w:gridCol w:w="560"/>
              <w:gridCol w:w="560"/>
              <w:gridCol w:w="560"/>
              <w:gridCol w:w="560"/>
              <w:gridCol w:w="560"/>
              <w:gridCol w:w="560"/>
              <w:gridCol w:w="560"/>
              <w:gridCol w:w="560"/>
              <w:gridCol w:w="764"/>
              <w:gridCol w:w="764"/>
              <w:gridCol w:w="764"/>
              <w:gridCol w:w="764"/>
              <w:gridCol w:w="219"/>
              <w:gridCol w:w="239"/>
            </w:tblGrid>
            <w:tr w:rsidR="006B24EB" w14:paraId="71E6EF92" w14:textId="77777777">
              <w:trPr>
                <w:trHeight w:val="300"/>
              </w:trPr>
              <w:tc>
                <w:tcPr>
                  <w:tcW w:w="960" w:type="dxa"/>
                  <w:noWrap/>
                  <w:tcMar>
                    <w:top w:w="0" w:type="dxa"/>
                    <w:left w:w="108" w:type="dxa"/>
                    <w:bottom w:w="0" w:type="dxa"/>
                    <w:right w:w="108" w:type="dxa"/>
                  </w:tcMar>
                  <w:vAlign w:val="bottom"/>
                  <w:hideMark/>
                </w:tcPr>
                <w:p w14:paraId="7D78440A"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TX UE</w:t>
                  </w:r>
                </w:p>
              </w:tc>
              <w:tc>
                <w:tcPr>
                  <w:tcW w:w="3840" w:type="dxa"/>
                  <w:gridSpan w:val="4"/>
                  <w:noWrap/>
                  <w:tcMar>
                    <w:top w:w="0" w:type="dxa"/>
                    <w:left w:w="108" w:type="dxa"/>
                    <w:bottom w:w="0" w:type="dxa"/>
                    <w:right w:w="108" w:type="dxa"/>
                  </w:tcMar>
                  <w:vAlign w:val="bottom"/>
                  <w:hideMark/>
                </w:tcPr>
                <w:p w14:paraId="09D72E38" w14:textId="77777777" w:rsidR="006B24EB" w:rsidRDefault="006B24EB">
                  <w:pPr>
                    <w:spacing w:before="100" w:beforeAutospacing="1" w:after="100" w:afterAutospacing="1"/>
                    <w:jc w:val="center"/>
                    <w:rPr>
                      <w:rFonts w:ascii="Times New Roman" w:hAnsi="Times New Roman" w:cs="Times New Roman"/>
                    </w:rPr>
                  </w:pPr>
                  <w:r>
                    <w:rPr>
                      <w:rFonts w:ascii="Times New Roman" w:hAnsi="Times New Roman" w:cs="Times New Roman"/>
                      <w:color w:val="4F81BD"/>
                    </w:rPr>
                    <w:t>PSFCH 1st Occasion</w:t>
                  </w:r>
                </w:p>
              </w:tc>
              <w:tc>
                <w:tcPr>
                  <w:tcW w:w="3840" w:type="dxa"/>
                  <w:gridSpan w:val="4"/>
                  <w:noWrap/>
                  <w:tcMar>
                    <w:top w:w="0" w:type="dxa"/>
                    <w:left w:w="108" w:type="dxa"/>
                    <w:bottom w:w="0" w:type="dxa"/>
                    <w:right w:w="108" w:type="dxa"/>
                  </w:tcMar>
                  <w:vAlign w:val="bottom"/>
                  <w:hideMark/>
                </w:tcPr>
                <w:p w14:paraId="1F14D41E" w14:textId="77777777" w:rsidR="006B24EB" w:rsidRDefault="006B24EB">
                  <w:pPr>
                    <w:spacing w:before="100" w:beforeAutospacing="1" w:after="100" w:afterAutospacing="1"/>
                    <w:jc w:val="center"/>
                    <w:rPr>
                      <w:rFonts w:ascii="Times New Roman" w:hAnsi="Times New Roman" w:cs="Times New Roman"/>
                    </w:rPr>
                  </w:pPr>
                  <w:r>
                    <w:rPr>
                      <w:rFonts w:ascii="Times New Roman" w:hAnsi="Times New Roman" w:cs="Times New Roman"/>
                      <w:color w:val="F79646"/>
                    </w:rPr>
                    <w:t>PSFCH 2nd occasion</w:t>
                  </w:r>
                </w:p>
              </w:tc>
              <w:tc>
                <w:tcPr>
                  <w:tcW w:w="5762" w:type="dxa"/>
                  <w:gridSpan w:val="6"/>
                  <w:noWrap/>
                  <w:tcMar>
                    <w:top w:w="0" w:type="dxa"/>
                    <w:left w:w="108" w:type="dxa"/>
                    <w:bottom w:w="0" w:type="dxa"/>
                    <w:right w:w="108" w:type="dxa"/>
                  </w:tcMar>
                  <w:vAlign w:val="bottom"/>
                  <w:hideMark/>
                </w:tcPr>
                <w:p w14:paraId="7D1A3818" w14:textId="77777777" w:rsidR="006B24EB" w:rsidRDefault="006B24EB">
                  <w:pPr>
                    <w:spacing w:before="100" w:beforeAutospacing="1" w:after="100" w:afterAutospacing="1"/>
                    <w:jc w:val="center"/>
                    <w:rPr>
                      <w:rFonts w:ascii="Times New Roman" w:hAnsi="Times New Roman" w:cs="Times New Roman"/>
                    </w:rPr>
                  </w:pPr>
                  <w:r>
                    <w:rPr>
                      <w:rFonts w:ascii="Times New Roman" w:hAnsi="Times New Roman" w:cs="Times New Roman"/>
                      <w:color w:val="00B0F0"/>
                    </w:rPr>
                    <w:t>PSFCH 3rd occasion</w:t>
                  </w:r>
                </w:p>
              </w:tc>
            </w:tr>
            <w:tr w:rsidR="006B24EB" w14:paraId="2BECB4CF" w14:textId="77777777">
              <w:trPr>
                <w:trHeight w:val="300"/>
              </w:trPr>
              <w:tc>
                <w:tcPr>
                  <w:tcW w:w="960" w:type="dxa"/>
                  <w:noWrap/>
                  <w:tcMar>
                    <w:top w:w="0" w:type="dxa"/>
                    <w:left w:w="108" w:type="dxa"/>
                    <w:bottom w:w="0" w:type="dxa"/>
                    <w:right w:w="108" w:type="dxa"/>
                  </w:tcMar>
                  <w:vAlign w:val="bottom"/>
                  <w:hideMark/>
                </w:tcPr>
                <w:p w14:paraId="4381A1CF" w14:textId="77777777" w:rsidR="006B24EB" w:rsidRDefault="006B24EB">
                  <w:pPr>
                    <w:rPr>
                      <w:rFonts w:ascii="Times New Roman" w:hAnsi="Times New Roman" w:cs="Times New Roman"/>
                    </w:rPr>
                  </w:pPr>
                </w:p>
              </w:tc>
              <w:tc>
                <w:tcPr>
                  <w:tcW w:w="960" w:type="dxa"/>
                  <w:noWrap/>
                  <w:tcMar>
                    <w:top w:w="0" w:type="dxa"/>
                    <w:left w:w="108" w:type="dxa"/>
                    <w:bottom w:w="0" w:type="dxa"/>
                    <w:right w:w="108" w:type="dxa"/>
                  </w:tcMar>
                  <w:vAlign w:val="bottom"/>
                  <w:hideMark/>
                </w:tcPr>
                <w:p w14:paraId="5F296015" w14:textId="77777777" w:rsidR="006B24EB" w:rsidRDefault="006B24EB">
                  <w:pPr>
                    <w:spacing w:before="100" w:beforeAutospacing="1" w:after="100" w:afterAutospacing="1"/>
                    <w:rPr>
                      <w:rFonts w:ascii="Times New Roman" w:eastAsia="MS PGothic" w:hAnsi="Times New Roman" w:cs="Times New Roman"/>
                      <w:sz w:val="24"/>
                      <w:szCs w:val="24"/>
                    </w:rPr>
                  </w:pPr>
                  <w:r>
                    <w:rPr>
                      <w:rFonts w:ascii="Times New Roman" w:hAnsi="Times New Roman" w:cs="Times New Roman"/>
                      <w:color w:val="4F81BD"/>
                    </w:rPr>
                    <w:t>RXUE1</w:t>
                  </w:r>
                </w:p>
              </w:tc>
              <w:tc>
                <w:tcPr>
                  <w:tcW w:w="960" w:type="dxa"/>
                  <w:noWrap/>
                  <w:tcMar>
                    <w:top w:w="0" w:type="dxa"/>
                    <w:left w:w="108" w:type="dxa"/>
                    <w:bottom w:w="0" w:type="dxa"/>
                    <w:right w:w="108" w:type="dxa"/>
                  </w:tcMar>
                  <w:vAlign w:val="bottom"/>
                  <w:hideMark/>
                </w:tcPr>
                <w:p w14:paraId="5157F652"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4F81BD"/>
                    </w:rPr>
                    <w:t>RXUE2</w:t>
                  </w:r>
                </w:p>
              </w:tc>
              <w:tc>
                <w:tcPr>
                  <w:tcW w:w="960" w:type="dxa"/>
                  <w:noWrap/>
                  <w:tcMar>
                    <w:top w:w="0" w:type="dxa"/>
                    <w:left w:w="108" w:type="dxa"/>
                    <w:bottom w:w="0" w:type="dxa"/>
                    <w:right w:w="108" w:type="dxa"/>
                  </w:tcMar>
                  <w:vAlign w:val="bottom"/>
                  <w:hideMark/>
                </w:tcPr>
                <w:p w14:paraId="369188D2"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4F81BD"/>
                    </w:rPr>
                    <w:t>RXUE3</w:t>
                  </w:r>
                </w:p>
              </w:tc>
              <w:tc>
                <w:tcPr>
                  <w:tcW w:w="960" w:type="dxa"/>
                  <w:noWrap/>
                  <w:tcMar>
                    <w:top w:w="0" w:type="dxa"/>
                    <w:left w:w="108" w:type="dxa"/>
                    <w:bottom w:w="0" w:type="dxa"/>
                    <w:right w:w="108" w:type="dxa"/>
                  </w:tcMar>
                  <w:vAlign w:val="bottom"/>
                  <w:hideMark/>
                </w:tcPr>
                <w:p w14:paraId="083AC2C0"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4F81BD"/>
                    </w:rPr>
                    <w:t>RXUE4</w:t>
                  </w:r>
                </w:p>
              </w:tc>
              <w:tc>
                <w:tcPr>
                  <w:tcW w:w="960" w:type="dxa"/>
                  <w:noWrap/>
                  <w:tcMar>
                    <w:top w:w="0" w:type="dxa"/>
                    <w:left w:w="108" w:type="dxa"/>
                    <w:bottom w:w="0" w:type="dxa"/>
                    <w:right w:w="108" w:type="dxa"/>
                  </w:tcMar>
                  <w:vAlign w:val="bottom"/>
                  <w:hideMark/>
                </w:tcPr>
                <w:p w14:paraId="514DE6C9"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79646"/>
                    </w:rPr>
                    <w:t>RXUE1</w:t>
                  </w:r>
                </w:p>
              </w:tc>
              <w:tc>
                <w:tcPr>
                  <w:tcW w:w="960" w:type="dxa"/>
                  <w:noWrap/>
                  <w:tcMar>
                    <w:top w:w="0" w:type="dxa"/>
                    <w:left w:w="108" w:type="dxa"/>
                    <w:bottom w:w="0" w:type="dxa"/>
                    <w:right w:w="108" w:type="dxa"/>
                  </w:tcMar>
                  <w:vAlign w:val="bottom"/>
                  <w:hideMark/>
                </w:tcPr>
                <w:p w14:paraId="349B9F3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79646"/>
                    </w:rPr>
                    <w:t>RXUE2</w:t>
                  </w:r>
                </w:p>
              </w:tc>
              <w:tc>
                <w:tcPr>
                  <w:tcW w:w="960" w:type="dxa"/>
                  <w:noWrap/>
                  <w:tcMar>
                    <w:top w:w="0" w:type="dxa"/>
                    <w:left w:w="108" w:type="dxa"/>
                    <w:bottom w:w="0" w:type="dxa"/>
                    <w:right w:w="108" w:type="dxa"/>
                  </w:tcMar>
                  <w:vAlign w:val="bottom"/>
                  <w:hideMark/>
                </w:tcPr>
                <w:p w14:paraId="5137AD90"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79646"/>
                    </w:rPr>
                    <w:t>RXUE3</w:t>
                  </w:r>
                </w:p>
              </w:tc>
              <w:tc>
                <w:tcPr>
                  <w:tcW w:w="960" w:type="dxa"/>
                  <w:noWrap/>
                  <w:tcMar>
                    <w:top w:w="0" w:type="dxa"/>
                    <w:left w:w="108" w:type="dxa"/>
                    <w:bottom w:w="0" w:type="dxa"/>
                    <w:right w:w="108" w:type="dxa"/>
                  </w:tcMar>
                  <w:vAlign w:val="bottom"/>
                  <w:hideMark/>
                </w:tcPr>
                <w:p w14:paraId="600A4A12"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79646"/>
                    </w:rPr>
                    <w:t>RXUE4</w:t>
                  </w:r>
                </w:p>
              </w:tc>
              <w:tc>
                <w:tcPr>
                  <w:tcW w:w="1400" w:type="dxa"/>
                  <w:noWrap/>
                  <w:tcMar>
                    <w:top w:w="0" w:type="dxa"/>
                    <w:left w:w="108" w:type="dxa"/>
                    <w:bottom w:w="0" w:type="dxa"/>
                    <w:right w:w="108" w:type="dxa"/>
                  </w:tcMar>
                  <w:vAlign w:val="bottom"/>
                  <w:hideMark/>
                </w:tcPr>
                <w:p w14:paraId="05C88FCD"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00B0F0"/>
                    </w:rPr>
                    <w:t>RXUE1</w:t>
                  </w:r>
                </w:p>
              </w:tc>
              <w:tc>
                <w:tcPr>
                  <w:tcW w:w="1400" w:type="dxa"/>
                  <w:noWrap/>
                  <w:tcMar>
                    <w:top w:w="0" w:type="dxa"/>
                    <w:left w:w="108" w:type="dxa"/>
                    <w:bottom w:w="0" w:type="dxa"/>
                    <w:right w:w="108" w:type="dxa"/>
                  </w:tcMar>
                  <w:vAlign w:val="bottom"/>
                  <w:hideMark/>
                </w:tcPr>
                <w:p w14:paraId="7A41573A"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00B0F0"/>
                    </w:rPr>
                    <w:t>RXUE2</w:t>
                  </w:r>
                </w:p>
              </w:tc>
              <w:tc>
                <w:tcPr>
                  <w:tcW w:w="1400" w:type="dxa"/>
                  <w:noWrap/>
                  <w:tcMar>
                    <w:top w:w="0" w:type="dxa"/>
                    <w:left w:w="108" w:type="dxa"/>
                    <w:bottom w:w="0" w:type="dxa"/>
                    <w:right w:w="108" w:type="dxa"/>
                  </w:tcMar>
                  <w:vAlign w:val="bottom"/>
                  <w:hideMark/>
                </w:tcPr>
                <w:p w14:paraId="37BC4F45"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00B0F0"/>
                    </w:rPr>
                    <w:t>RXUE3</w:t>
                  </w:r>
                </w:p>
              </w:tc>
              <w:tc>
                <w:tcPr>
                  <w:tcW w:w="1400" w:type="dxa"/>
                  <w:noWrap/>
                  <w:tcMar>
                    <w:top w:w="0" w:type="dxa"/>
                    <w:left w:w="108" w:type="dxa"/>
                    <w:bottom w:w="0" w:type="dxa"/>
                    <w:right w:w="108" w:type="dxa"/>
                  </w:tcMar>
                  <w:vAlign w:val="bottom"/>
                  <w:hideMark/>
                </w:tcPr>
                <w:p w14:paraId="4E39E60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00B0F0"/>
                    </w:rPr>
                    <w:t>RXUE4</w:t>
                  </w:r>
                </w:p>
              </w:tc>
              <w:tc>
                <w:tcPr>
                  <w:tcW w:w="81" w:type="dxa"/>
                  <w:noWrap/>
                  <w:tcMar>
                    <w:top w:w="0" w:type="dxa"/>
                    <w:left w:w="108" w:type="dxa"/>
                    <w:bottom w:w="0" w:type="dxa"/>
                    <w:right w:w="108" w:type="dxa"/>
                  </w:tcMar>
                  <w:vAlign w:val="bottom"/>
                  <w:hideMark/>
                </w:tcPr>
                <w:p w14:paraId="1E398956" w14:textId="77777777" w:rsidR="006B24EB" w:rsidRDefault="006B24EB">
                  <w:pPr>
                    <w:rPr>
                      <w:rFonts w:ascii="Times New Roman" w:hAnsi="Times New Roman" w:cs="Times New Roman"/>
                    </w:rPr>
                  </w:pPr>
                </w:p>
              </w:tc>
              <w:tc>
                <w:tcPr>
                  <w:tcW w:w="81" w:type="dxa"/>
                  <w:noWrap/>
                  <w:tcMar>
                    <w:top w:w="0" w:type="dxa"/>
                    <w:left w:w="108" w:type="dxa"/>
                    <w:bottom w:w="0" w:type="dxa"/>
                    <w:right w:w="108" w:type="dxa"/>
                  </w:tcMar>
                  <w:vAlign w:val="bottom"/>
                  <w:hideMark/>
                </w:tcPr>
                <w:p w14:paraId="20565AF9" w14:textId="77777777" w:rsidR="006B24EB" w:rsidRDefault="006B24EB">
                  <w:pPr>
                    <w:rPr>
                      <w:rFonts w:ascii="Times New Roman" w:eastAsia="Times New Roman" w:hAnsi="Times New Roman" w:cs="Times New Roman"/>
                      <w:sz w:val="20"/>
                      <w:szCs w:val="20"/>
                    </w:rPr>
                  </w:pPr>
                </w:p>
              </w:tc>
            </w:tr>
            <w:tr w:rsidR="006B24EB" w14:paraId="0FDF92C6" w14:textId="77777777">
              <w:trPr>
                <w:trHeight w:val="300"/>
              </w:trPr>
              <w:tc>
                <w:tcPr>
                  <w:tcW w:w="960" w:type="dxa"/>
                  <w:noWrap/>
                  <w:tcMar>
                    <w:top w:w="0" w:type="dxa"/>
                    <w:left w:w="108" w:type="dxa"/>
                    <w:bottom w:w="0" w:type="dxa"/>
                    <w:right w:w="108" w:type="dxa"/>
                  </w:tcMar>
                  <w:vAlign w:val="bottom"/>
                  <w:hideMark/>
                </w:tcPr>
                <w:p w14:paraId="32E14570" w14:textId="77777777" w:rsidR="006B24EB" w:rsidRDefault="006B24EB">
                  <w:pPr>
                    <w:rPr>
                      <w:rFonts w:ascii="Times New Roman" w:eastAsia="Times New Roman" w:hAnsi="Times New Roman" w:cs="Times New Roman"/>
                      <w:sz w:val="20"/>
                      <w:szCs w:val="20"/>
                    </w:rPr>
                  </w:pPr>
                </w:p>
              </w:tc>
              <w:tc>
                <w:tcPr>
                  <w:tcW w:w="960" w:type="dxa"/>
                  <w:noWrap/>
                  <w:tcMar>
                    <w:top w:w="0" w:type="dxa"/>
                    <w:left w:w="108" w:type="dxa"/>
                    <w:bottom w:w="0" w:type="dxa"/>
                    <w:right w:w="108" w:type="dxa"/>
                  </w:tcMar>
                  <w:vAlign w:val="bottom"/>
                  <w:hideMark/>
                </w:tcPr>
                <w:p w14:paraId="0731A42C" w14:textId="77777777" w:rsidR="006B24EB" w:rsidRDefault="006B24EB">
                  <w:pPr>
                    <w:spacing w:before="100" w:beforeAutospacing="1" w:after="100" w:afterAutospacing="1"/>
                    <w:rPr>
                      <w:rFonts w:ascii="Times New Roman" w:eastAsia="MS PGothic" w:hAnsi="Times New Roman" w:cs="Times New Roman"/>
                      <w:sz w:val="24"/>
                      <w:szCs w:val="24"/>
                    </w:rPr>
                  </w:pPr>
                  <w:r>
                    <w:rPr>
                      <w:rFonts w:ascii="Times New Roman" w:hAnsi="Times New Roman" w:cs="Times New Roman"/>
                    </w:rPr>
                    <w:t>ACK</w:t>
                  </w:r>
                </w:p>
              </w:tc>
              <w:tc>
                <w:tcPr>
                  <w:tcW w:w="960" w:type="dxa"/>
                  <w:noWrap/>
                  <w:tcMar>
                    <w:top w:w="0" w:type="dxa"/>
                    <w:left w:w="108" w:type="dxa"/>
                    <w:bottom w:w="0" w:type="dxa"/>
                    <w:right w:w="108" w:type="dxa"/>
                  </w:tcMar>
                  <w:vAlign w:val="bottom"/>
                  <w:hideMark/>
                </w:tcPr>
                <w:p w14:paraId="1673CE3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NACK</w:t>
                  </w:r>
                </w:p>
              </w:tc>
              <w:tc>
                <w:tcPr>
                  <w:tcW w:w="960" w:type="dxa"/>
                  <w:noWrap/>
                  <w:tcMar>
                    <w:top w:w="0" w:type="dxa"/>
                    <w:left w:w="108" w:type="dxa"/>
                    <w:bottom w:w="0" w:type="dxa"/>
                    <w:right w:w="108" w:type="dxa"/>
                  </w:tcMar>
                  <w:vAlign w:val="bottom"/>
                  <w:hideMark/>
                </w:tcPr>
                <w:p w14:paraId="73BB6148"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960" w:type="dxa"/>
                  <w:noWrap/>
                  <w:tcMar>
                    <w:top w:w="0" w:type="dxa"/>
                    <w:left w:w="108" w:type="dxa"/>
                    <w:bottom w:w="0" w:type="dxa"/>
                    <w:right w:w="108" w:type="dxa"/>
                  </w:tcMar>
                  <w:vAlign w:val="bottom"/>
                  <w:hideMark/>
                </w:tcPr>
                <w:p w14:paraId="768FFBA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960" w:type="dxa"/>
                  <w:noWrap/>
                  <w:tcMar>
                    <w:top w:w="0" w:type="dxa"/>
                    <w:left w:w="108" w:type="dxa"/>
                    <w:bottom w:w="0" w:type="dxa"/>
                    <w:right w:w="108" w:type="dxa"/>
                  </w:tcMar>
                  <w:vAlign w:val="bottom"/>
                  <w:hideMark/>
                </w:tcPr>
                <w:p w14:paraId="0CB6BA59"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NACK</w:t>
                  </w:r>
                </w:p>
              </w:tc>
              <w:tc>
                <w:tcPr>
                  <w:tcW w:w="960" w:type="dxa"/>
                  <w:noWrap/>
                  <w:tcMar>
                    <w:top w:w="0" w:type="dxa"/>
                    <w:left w:w="108" w:type="dxa"/>
                    <w:bottom w:w="0" w:type="dxa"/>
                    <w:right w:w="108" w:type="dxa"/>
                  </w:tcMar>
                  <w:vAlign w:val="bottom"/>
                  <w:hideMark/>
                </w:tcPr>
                <w:p w14:paraId="5917991C"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960" w:type="dxa"/>
                  <w:noWrap/>
                  <w:tcMar>
                    <w:top w:w="0" w:type="dxa"/>
                    <w:left w:w="108" w:type="dxa"/>
                    <w:bottom w:w="0" w:type="dxa"/>
                    <w:right w:w="108" w:type="dxa"/>
                  </w:tcMar>
                  <w:vAlign w:val="bottom"/>
                  <w:hideMark/>
                </w:tcPr>
                <w:p w14:paraId="7959AA8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NACK</w:t>
                  </w:r>
                </w:p>
              </w:tc>
              <w:tc>
                <w:tcPr>
                  <w:tcW w:w="960" w:type="dxa"/>
                  <w:noWrap/>
                  <w:tcMar>
                    <w:top w:w="0" w:type="dxa"/>
                    <w:left w:w="108" w:type="dxa"/>
                    <w:bottom w:w="0" w:type="dxa"/>
                    <w:right w:w="108" w:type="dxa"/>
                  </w:tcMar>
                  <w:vAlign w:val="bottom"/>
                  <w:hideMark/>
                </w:tcPr>
                <w:p w14:paraId="7FEFD155"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1400" w:type="dxa"/>
                  <w:noWrap/>
                  <w:tcMar>
                    <w:top w:w="0" w:type="dxa"/>
                    <w:left w:w="108" w:type="dxa"/>
                    <w:bottom w:w="0" w:type="dxa"/>
                    <w:right w:w="108" w:type="dxa"/>
                  </w:tcMar>
                  <w:vAlign w:val="bottom"/>
                  <w:hideMark/>
                </w:tcPr>
                <w:p w14:paraId="2E3EB76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1400" w:type="dxa"/>
                  <w:noWrap/>
                  <w:tcMar>
                    <w:top w:w="0" w:type="dxa"/>
                    <w:left w:w="108" w:type="dxa"/>
                    <w:bottom w:w="0" w:type="dxa"/>
                    <w:right w:w="108" w:type="dxa"/>
                  </w:tcMar>
                  <w:vAlign w:val="bottom"/>
                  <w:hideMark/>
                </w:tcPr>
                <w:p w14:paraId="370F625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NACK</w:t>
                  </w:r>
                </w:p>
              </w:tc>
              <w:tc>
                <w:tcPr>
                  <w:tcW w:w="1400" w:type="dxa"/>
                  <w:noWrap/>
                  <w:tcMar>
                    <w:top w:w="0" w:type="dxa"/>
                    <w:left w:w="108" w:type="dxa"/>
                    <w:bottom w:w="0" w:type="dxa"/>
                    <w:right w:w="108" w:type="dxa"/>
                  </w:tcMar>
                  <w:vAlign w:val="bottom"/>
                  <w:hideMark/>
                </w:tcPr>
                <w:p w14:paraId="643D18C5"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1400" w:type="dxa"/>
                  <w:noWrap/>
                  <w:tcMar>
                    <w:top w:w="0" w:type="dxa"/>
                    <w:left w:w="108" w:type="dxa"/>
                    <w:bottom w:w="0" w:type="dxa"/>
                    <w:right w:w="108" w:type="dxa"/>
                  </w:tcMar>
                  <w:vAlign w:val="bottom"/>
                  <w:hideMark/>
                </w:tcPr>
                <w:p w14:paraId="16EC23FF"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81" w:type="dxa"/>
                  <w:noWrap/>
                  <w:tcMar>
                    <w:top w:w="0" w:type="dxa"/>
                    <w:left w:w="108" w:type="dxa"/>
                    <w:bottom w:w="0" w:type="dxa"/>
                    <w:right w:w="108" w:type="dxa"/>
                  </w:tcMar>
                  <w:vAlign w:val="bottom"/>
                  <w:hideMark/>
                </w:tcPr>
                <w:p w14:paraId="7C2DACB9" w14:textId="77777777" w:rsidR="006B24EB" w:rsidRDefault="006B24EB">
                  <w:pPr>
                    <w:rPr>
                      <w:rFonts w:ascii="Times New Roman" w:hAnsi="Times New Roman" w:cs="Times New Roman"/>
                    </w:rPr>
                  </w:pPr>
                </w:p>
              </w:tc>
              <w:tc>
                <w:tcPr>
                  <w:tcW w:w="81" w:type="dxa"/>
                  <w:noWrap/>
                  <w:tcMar>
                    <w:top w:w="0" w:type="dxa"/>
                    <w:left w:w="108" w:type="dxa"/>
                    <w:bottom w:w="0" w:type="dxa"/>
                    <w:right w:w="108" w:type="dxa"/>
                  </w:tcMar>
                  <w:vAlign w:val="bottom"/>
                  <w:hideMark/>
                </w:tcPr>
                <w:p w14:paraId="7F483328" w14:textId="77777777" w:rsidR="006B24EB" w:rsidRDefault="006B24EB">
                  <w:pPr>
                    <w:spacing w:before="100" w:beforeAutospacing="1" w:after="100" w:afterAutospacing="1"/>
                    <w:rPr>
                      <w:rFonts w:ascii="Times New Roman" w:eastAsia="MS PGothic" w:hAnsi="Times New Roman" w:cs="Times New Roman"/>
                      <w:sz w:val="24"/>
                      <w:szCs w:val="24"/>
                    </w:rPr>
                  </w:pPr>
                  <w:r>
                    <w:rPr>
                      <w:rFonts w:ascii="Times New Roman" w:hAnsi="Times New Roman" w:cs="Times New Roman"/>
                      <w:sz w:val="20"/>
                      <w:szCs w:val="20"/>
                    </w:rPr>
                    <w:t> </w:t>
                  </w:r>
                </w:p>
              </w:tc>
            </w:tr>
          </w:tbl>
          <w:p w14:paraId="0F0E788B" w14:textId="77777777" w:rsidR="006B24EB" w:rsidRDefault="006B24EB">
            <w:pPr>
              <w:spacing w:before="100" w:beforeAutospacing="1" w:after="100" w:afterAutospacing="1"/>
              <w:rPr>
                <w:rFonts w:ascii="Times New Roman" w:eastAsia="MS PGothic" w:hAnsi="Times New Roman" w:cs="Times New Roman"/>
                <w:sz w:val="24"/>
                <w:szCs w:val="24"/>
              </w:rPr>
            </w:pPr>
            <w:r>
              <w:rPr>
                <w:rFonts w:ascii="Times New Roman" w:hAnsi="Times New Roman" w:cs="Times New Roman"/>
              </w:rPr>
              <w:t> </w:t>
            </w:r>
          </w:p>
          <w:p w14:paraId="39333254"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p>
          <w:p w14:paraId="7C1EA57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I still disagree. If the TX UE receives ACK from RX UE1 in the first PSFCH occasion and it keeps transmitting the same TB, then I don’t see why it should track any more responses from RX UE1. The TB has already been ACKed by RX UE1.</w:t>
            </w:r>
          </w:p>
        </w:tc>
      </w:tr>
      <w:tr w:rsidR="006B24EB" w14:paraId="259CFDD0" w14:textId="77777777" w:rsidTr="006B24EB">
        <w:trPr>
          <w:trHeight w:val="58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B254B" w14:textId="77777777" w:rsidR="006B24EB" w:rsidRDefault="006B24EB">
            <w:pPr>
              <w:spacing w:before="100" w:beforeAutospacing="1" w:after="100" w:afterAutospacing="1"/>
              <w:rPr>
                <w:rFonts w:ascii="Times New Roman" w:hAnsi="Times New Roman" w:cs="Times New Roman"/>
              </w:rPr>
            </w:pPr>
            <w:r>
              <w:rPr>
                <w:rFonts w:ascii="Helvetica" w:hAnsi="Helvetica" w:cs="Helvetica"/>
                <w:sz w:val="20"/>
                <w:szCs w:val="20"/>
              </w:rPr>
              <w:t>Samsung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827522" w14:textId="77777777" w:rsidR="006B24EB" w:rsidRDefault="006B24EB">
            <w:pPr>
              <w:spacing w:before="100" w:beforeAutospacing="1" w:after="100" w:afterAutospacing="1"/>
              <w:rPr>
                <w:rFonts w:ascii="Times New Roman" w:hAnsi="Times New Roman" w:cs="Times New Roman"/>
              </w:rPr>
            </w:pPr>
            <w:r>
              <w:rPr>
                <w:rFonts w:ascii="Helvetica" w:hAnsi="Helvetica" w:cs="Helvetica"/>
                <w:sz w:val="20"/>
                <w:szCs w:val="20"/>
              </w:rPr>
              <w:t>We share similar view as vivo. It is beneficial to clarify the PSFCH occasion is not only the most recent one but also previous ones.</w:t>
            </w:r>
          </w:p>
          <w:p w14:paraId="77D4466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r>
              <w:rPr>
                <w:rFonts w:ascii="Times New Roman" w:hAnsi="Times New Roman" w:cs="Times New Roman"/>
                <w:color w:val="FF0000"/>
              </w:rPr>
              <w:t xml:space="preserve">: See my reply to vivo    </w:t>
            </w:r>
          </w:p>
        </w:tc>
      </w:tr>
      <w:tr w:rsidR="006B24EB" w14:paraId="5F263BAA" w14:textId="77777777" w:rsidTr="006B24EB">
        <w:trPr>
          <w:trHeight w:val="58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1D0BC" w14:textId="77777777" w:rsidR="006B24EB" w:rsidRDefault="006B24EB">
            <w:pPr>
              <w:spacing w:before="100" w:beforeAutospacing="1" w:after="100" w:afterAutospacing="1"/>
              <w:rPr>
                <w:rFonts w:ascii="Times New Roman" w:hAnsi="Times New Roman" w:cs="Times New Roman"/>
              </w:rPr>
            </w:pPr>
            <w:r>
              <w:rPr>
                <w:rFonts w:ascii="Helvetica" w:hAnsi="Helvetica" w:cs="Helvetica"/>
                <w:sz w:val="20"/>
                <w:szCs w:val="20"/>
              </w:rPr>
              <w:t>Apple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716A4E" w14:textId="77777777" w:rsidR="006B24EB" w:rsidRDefault="006B24EB">
            <w:pPr>
              <w:spacing w:before="100" w:beforeAutospacing="1" w:after="100" w:afterAutospacing="1"/>
              <w:rPr>
                <w:rFonts w:ascii="Times New Roman" w:hAnsi="Times New Roman" w:cs="Times New Roman"/>
              </w:rPr>
            </w:pPr>
            <w:r>
              <w:rPr>
                <w:rFonts w:ascii="Helvetica" w:hAnsi="Helvetica" w:cs="Helvetica"/>
                <w:sz w:val="20"/>
                <w:szCs w:val="20"/>
              </w:rPr>
              <w:t>We share the same view as Lenovo/MoTM. TX UE does not have to track all RX UE’s response in the past PSFCH occasions. This simplifies TX UE’s PSFCH processing for its PUCCH reporting to gNB. Hence, we propose to modify the proposal as:</w:t>
            </w:r>
          </w:p>
          <w:p w14:paraId="0A07FA0C"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 xml:space="preserve">For groupcast option 2 in the case where there are multiple PSFCHs corresponding to multiple PSCCH/PSSCH transmissions of a single TB, the TX UE reports ACK to the gNB if it receives ACK from all RX UEs </w:t>
            </w:r>
            <w:r>
              <w:rPr>
                <w:rFonts w:ascii="Times New Roman" w:hAnsi="Times New Roman" w:cs="Times New Roman"/>
                <w:color w:val="FF0000"/>
              </w:rPr>
              <w:t>in the last PSFCH occasion</w:t>
            </w:r>
            <w:r>
              <w:rPr>
                <w:rFonts w:ascii="Times New Roman" w:hAnsi="Times New Roman" w:cs="Times New Roman"/>
              </w:rPr>
              <w:t>. Otherwise, it reports NACK to the gNB.</w:t>
            </w:r>
          </w:p>
          <w:p w14:paraId="6F104B50" w14:textId="77777777" w:rsidR="006B24EB" w:rsidRDefault="006B24EB">
            <w:pPr>
              <w:spacing w:before="100" w:beforeAutospacing="1" w:after="100" w:afterAutospacing="1"/>
              <w:rPr>
                <w:rFonts w:ascii="Times New Roman" w:hAnsi="Times New Roman" w:cs="Times New Roman"/>
                <w:sz w:val="24"/>
                <w:szCs w:val="24"/>
              </w:rPr>
            </w:pPr>
            <w:r>
              <w:rPr>
                <w:rFonts w:ascii="Times New Roman" w:hAnsi="Times New Roman" w:cs="Times New Roman"/>
                <w:b/>
                <w:bCs/>
                <w:color w:val="FF0000"/>
              </w:rPr>
              <w:t>FL reply</w:t>
            </w:r>
            <w:r>
              <w:rPr>
                <w:rFonts w:ascii="Times New Roman" w:hAnsi="Times New Roman" w:cs="Times New Roman"/>
                <w:color w:val="FF0000"/>
              </w:rPr>
              <w:t xml:space="preserve">: As I have explained to Lenovo, the UE does not need to track all responses. It only needs to maintain a list of those who have ACKed. </w:t>
            </w:r>
          </w:p>
        </w:tc>
      </w:tr>
    </w:tbl>
    <w:p w14:paraId="6A5D6155" w14:textId="61EF1DCC" w:rsidR="006B24EB" w:rsidRPr="00BB1DB4" w:rsidRDefault="006B24EB" w:rsidP="006B24EB">
      <w:pPr>
        <w:rPr>
          <w:rFonts w:ascii="Times New Roman" w:eastAsia="MS PGothic" w:hAnsi="Times New Roman" w:cs="Times New Roman"/>
          <w:sz w:val="24"/>
          <w:szCs w:val="24"/>
          <w:lang w:val="en-US" w:eastAsia="ja-JP"/>
        </w:rPr>
      </w:pPr>
    </w:p>
    <w:p w14:paraId="1B6BF18B" w14:textId="77777777" w:rsidR="006B24EB" w:rsidRDefault="006B24EB" w:rsidP="006B24EB">
      <w:pPr>
        <w:pStyle w:val="Heading3"/>
      </w:pPr>
      <w:r>
        <w:t>Q3: For groupcast option 2, what should the TX UE report to the gNB when it does not detect some expected PSFCH?</w:t>
      </w:r>
    </w:p>
    <w:p w14:paraId="70691FE4" w14:textId="77777777" w:rsidR="006B24EB" w:rsidRDefault="006B24EB" w:rsidP="006B24EB">
      <w:pPr>
        <w:rPr>
          <w:rFonts w:ascii="Times New Roman" w:eastAsia="MS PGothic" w:hAnsi="Times New Roman" w:cs="Times New Roman"/>
          <w:sz w:val="24"/>
          <w:szCs w:val="24"/>
          <w:lang w:val="en-US" w:eastAsia="ja-JP"/>
        </w:rPr>
      </w:pPr>
      <w:r>
        <w:rPr>
          <w:rFonts w:ascii="Calibri" w:hAnsi="Calibri"/>
          <w:lang w:val="en-US" w:eastAsia="ja-JP"/>
        </w:rPr>
        <w:t>Views:</w:t>
      </w:r>
    </w:p>
    <w:tbl>
      <w:tblPr>
        <w:tblW w:w="0" w:type="auto"/>
        <w:tblCellMar>
          <w:left w:w="0" w:type="dxa"/>
          <w:right w:w="0" w:type="dxa"/>
        </w:tblCellMar>
        <w:tblLook w:val="04A0" w:firstRow="1" w:lastRow="0" w:firstColumn="1" w:lastColumn="0" w:noHBand="0" w:noVBand="1"/>
      </w:tblPr>
      <w:tblGrid>
        <w:gridCol w:w="1079"/>
        <w:gridCol w:w="675"/>
      </w:tblGrid>
      <w:tr w:rsidR="006B24EB" w14:paraId="037B8F27" w14:textId="77777777" w:rsidTr="006B24EB">
        <w:tc>
          <w:tcPr>
            <w:tcW w:w="0" w:type="auto"/>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BF969D7" w14:textId="77777777" w:rsidR="006B24EB" w:rsidRDefault="006B24EB">
            <w:pPr>
              <w:jc w:val="center"/>
              <w:rPr>
                <w:rFonts w:ascii="Times New Roman" w:hAnsi="Times New Roman" w:cs="Times New Roman"/>
                <w:lang w:eastAsia="fi-FI"/>
              </w:rPr>
            </w:pPr>
            <w:r>
              <w:rPr>
                <w:rFonts w:ascii="Calibri" w:hAnsi="Calibri"/>
                <w:b/>
                <w:bCs/>
              </w:rPr>
              <w:t>Company</w:t>
            </w:r>
          </w:p>
        </w:tc>
        <w:tc>
          <w:tcPr>
            <w:tcW w:w="0" w:type="auto"/>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A5E01E4" w14:textId="77777777" w:rsidR="006B24EB" w:rsidRDefault="006B24EB">
            <w:pPr>
              <w:jc w:val="center"/>
              <w:rPr>
                <w:rFonts w:ascii="Times New Roman" w:hAnsi="Times New Roman" w:cs="Times New Roman"/>
              </w:rPr>
            </w:pPr>
            <w:r>
              <w:rPr>
                <w:rFonts w:ascii="Calibri" w:hAnsi="Calibri"/>
                <w:b/>
                <w:bCs/>
                <w:color w:val="000000"/>
              </w:rPr>
              <w:t>View</w:t>
            </w:r>
          </w:p>
        </w:tc>
      </w:tr>
      <w:tr w:rsidR="006B24EB" w14:paraId="7E53BACC"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F8071" w14:textId="77777777" w:rsidR="006B24EB" w:rsidRDefault="006B24EB">
            <w:pPr>
              <w:rPr>
                <w:rFonts w:ascii="Times New Roman" w:hAnsi="Times New Roman" w:cs="Times New Roman"/>
              </w:rPr>
            </w:pPr>
            <w:r>
              <w:rPr>
                <w:rFonts w:ascii="Calibri" w:hAnsi="Calibri"/>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5F4E82" w14:textId="77777777" w:rsidR="006B24EB" w:rsidRDefault="006B24EB">
            <w:pPr>
              <w:rPr>
                <w:rFonts w:ascii="Times New Roman" w:hAnsi="Times New Roman" w:cs="Times New Roman"/>
              </w:rPr>
            </w:pPr>
            <w:r>
              <w:rPr>
                <w:rFonts w:ascii="Calibri" w:hAnsi="Calibri"/>
              </w:rPr>
              <w:t> </w:t>
            </w:r>
          </w:p>
        </w:tc>
      </w:tr>
      <w:tr w:rsidR="006B24EB" w14:paraId="2B11A597"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3221B0" w14:textId="77777777" w:rsidR="006B24EB" w:rsidRDefault="006B24EB">
            <w:pPr>
              <w:rPr>
                <w:rFonts w:ascii="Times New Roman" w:hAnsi="Times New Roman" w:cs="Times New Roman"/>
              </w:rPr>
            </w:pPr>
            <w:r>
              <w:rPr>
                <w:rFonts w:ascii="Calibri" w:hAnsi="Calibri"/>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434743" w14:textId="77777777" w:rsidR="006B24EB" w:rsidRDefault="006B24EB">
            <w:pPr>
              <w:rPr>
                <w:rFonts w:ascii="Times New Roman" w:hAnsi="Times New Roman" w:cs="Times New Roman"/>
              </w:rPr>
            </w:pPr>
            <w:r>
              <w:rPr>
                <w:rFonts w:ascii="Calibri" w:hAnsi="Calibri"/>
              </w:rPr>
              <w:t> </w:t>
            </w:r>
          </w:p>
        </w:tc>
      </w:tr>
      <w:tr w:rsidR="006B24EB" w14:paraId="63237D8B"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A59EF" w14:textId="77777777" w:rsidR="006B24EB" w:rsidRDefault="006B24EB">
            <w:pPr>
              <w:rPr>
                <w:rFonts w:ascii="Times New Roman" w:hAnsi="Times New Roman" w:cs="Times New Roman"/>
              </w:rPr>
            </w:pPr>
            <w:r>
              <w:rPr>
                <w:rFonts w:ascii="Calibri" w:hAnsi="Calibri"/>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291BFD" w14:textId="77777777" w:rsidR="006B24EB" w:rsidRDefault="006B24EB">
            <w:pPr>
              <w:rPr>
                <w:rFonts w:ascii="Times New Roman" w:hAnsi="Times New Roman" w:cs="Times New Roman"/>
              </w:rPr>
            </w:pPr>
            <w:r>
              <w:rPr>
                <w:rFonts w:ascii="Calibri" w:hAnsi="Calibri"/>
              </w:rPr>
              <w:t> </w:t>
            </w:r>
          </w:p>
        </w:tc>
      </w:tr>
    </w:tbl>
    <w:p w14:paraId="7A450D09" w14:textId="77777777" w:rsidR="006B24EB" w:rsidRDefault="006B24EB" w:rsidP="006B24EB">
      <w:pPr>
        <w:pStyle w:val="Heading3"/>
      </w:pPr>
      <w:r>
        <w:t>Q4: For configured grant, what should the TX UE report to the gNB report to the gNB in case no PSCCH/PSSCH is transmitted in a set of resources.</w:t>
      </w:r>
    </w:p>
    <w:p w14:paraId="0183E2E7" w14:textId="77777777" w:rsidR="006B24EB" w:rsidRDefault="006B24EB" w:rsidP="006B24EB">
      <w:pPr>
        <w:rPr>
          <w:rFonts w:ascii="Times New Roman" w:eastAsia="MS PGothic" w:hAnsi="Times New Roman" w:cs="Times New Roman"/>
          <w:sz w:val="24"/>
          <w:szCs w:val="24"/>
          <w:lang w:val="en-US" w:eastAsia="ja-JP"/>
        </w:rPr>
      </w:pPr>
      <w:r>
        <w:rPr>
          <w:rFonts w:ascii="Calibri" w:hAnsi="Calibri"/>
          <w:lang w:val="en-US" w:eastAsia="ja-JP"/>
        </w:rPr>
        <w:t>Views:</w:t>
      </w:r>
    </w:p>
    <w:tbl>
      <w:tblPr>
        <w:tblW w:w="0" w:type="auto"/>
        <w:tblCellMar>
          <w:left w:w="0" w:type="dxa"/>
          <w:right w:w="0" w:type="dxa"/>
        </w:tblCellMar>
        <w:tblLook w:val="04A0" w:firstRow="1" w:lastRow="0" w:firstColumn="1" w:lastColumn="0" w:noHBand="0" w:noVBand="1"/>
      </w:tblPr>
      <w:tblGrid>
        <w:gridCol w:w="1511"/>
        <w:gridCol w:w="8108"/>
      </w:tblGrid>
      <w:tr w:rsidR="006B24EB" w14:paraId="7AE72DA0" w14:textId="77777777" w:rsidTr="006B24EB">
        <w:tc>
          <w:tcPr>
            <w:tcW w:w="0" w:type="auto"/>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BA4791B" w14:textId="77777777" w:rsidR="006B24EB" w:rsidRDefault="006B24EB">
            <w:pPr>
              <w:jc w:val="center"/>
              <w:rPr>
                <w:rFonts w:ascii="Times New Roman" w:hAnsi="Times New Roman" w:cs="Times New Roman"/>
                <w:lang w:eastAsia="fi-FI"/>
              </w:rPr>
            </w:pPr>
            <w:r>
              <w:rPr>
                <w:rFonts w:ascii="Calibri" w:hAnsi="Calibri"/>
                <w:b/>
                <w:bCs/>
              </w:rPr>
              <w:t>Company</w:t>
            </w:r>
          </w:p>
        </w:tc>
        <w:tc>
          <w:tcPr>
            <w:tcW w:w="0" w:type="auto"/>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FC6DBB3" w14:textId="77777777" w:rsidR="006B24EB" w:rsidRDefault="006B24EB">
            <w:pPr>
              <w:jc w:val="center"/>
              <w:rPr>
                <w:rFonts w:ascii="Times New Roman" w:hAnsi="Times New Roman" w:cs="Times New Roman"/>
              </w:rPr>
            </w:pPr>
            <w:r>
              <w:rPr>
                <w:rFonts w:ascii="Calibri" w:hAnsi="Calibri"/>
                <w:b/>
                <w:bCs/>
                <w:color w:val="000000"/>
              </w:rPr>
              <w:t>View</w:t>
            </w:r>
          </w:p>
        </w:tc>
      </w:tr>
      <w:tr w:rsidR="006B24EB" w14:paraId="11BF413B"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E5DE5" w14:textId="77777777" w:rsidR="006B24EB" w:rsidRDefault="006B24EB">
            <w:pPr>
              <w:rPr>
                <w:rFonts w:ascii="Times New Roman" w:hAnsi="Times New Roman" w:cs="Times New Roman"/>
              </w:rPr>
            </w:pPr>
            <w:r>
              <w:rPr>
                <w:rFonts w:ascii="Calibri" w:hAnsi="Calibri"/>
              </w:rPr>
              <w:t>ZTE/Sanechips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F4DCF4" w14:textId="77777777" w:rsidR="006B24EB" w:rsidRDefault="006B24EB">
            <w:pPr>
              <w:rPr>
                <w:rFonts w:ascii="Times New Roman" w:hAnsi="Times New Roman" w:cs="Times New Roman"/>
              </w:rPr>
            </w:pPr>
            <w:r>
              <w:rPr>
                <w:rFonts w:ascii="Calibri" w:hAnsi="Calibri"/>
              </w:rPr>
              <w:t>“No PSCCH/PSSCH transmission” maybe caused by different reasons. One of the reasons is due to a losing of prioritization competition. For the case of losing a prioritization competition, the proposal for Q1 (for case of groupcast feedback option 1) already mentions that the Tx UE should report NACK to gNB. Should we consider the similar behavior here in Q4 proposal, at least for losing of competition, to keep consistency?</w:t>
            </w:r>
          </w:p>
          <w:p w14:paraId="30CD5069" w14:textId="77777777" w:rsidR="006B24EB" w:rsidRDefault="006B24EB">
            <w:pPr>
              <w:rPr>
                <w:rFonts w:ascii="Times New Roman" w:hAnsi="Times New Roman" w:cs="Times New Roman"/>
              </w:rPr>
            </w:pPr>
            <w:r>
              <w:rPr>
                <w:rFonts w:ascii="Calibri" w:hAnsi="Calibri"/>
              </w:rPr>
              <w:t> </w:t>
            </w:r>
          </w:p>
          <w:p w14:paraId="4F92A8D5" w14:textId="77777777" w:rsidR="006B24EB" w:rsidRDefault="006B24EB">
            <w:pPr>
              <w:rPr>
                <w:rFonts w:ascii="Times New Roman" w:hAnsi="Times New Roman" w:cs="Times New Roman"/>
              </w:rPr>
            </w:pPr>
            <w:r>
              <w:rPr>
                <w:rFonts w:ascii="Calibri" w:hAnsi="Calibri"/>
                <w:b/>
                <w:bCs/>
                <w:color w:val="FF0000"/>
              </w:rPr>
              <w:t>FL reply:</w:t>
            </w:r>
          </w:p>
          <w:p w14:paraId="4863C14E" w14:textId="77777777" w:rsidR="006B24EB" w:rsidRDefault="006B24EB">
            <w:pPr>
              <w:rPr>
                <w:rFonts w:ascii="Times New Roman" w:hAnsi="Times New Roman" w:cs="Times New Roman"/>
              </w:rPr>
            </w:pPr>
            <w:r>
              <w:rPr>
                <w:rFonts w:ascii="Calibri" w:hAnsi="Calibri"/>
                <w:color w:val="FF0000"/>
              </w:rPr>
              <w:t> </w:t>
            </w:r>
          </w:p>
          <w:p w14:paraId="35FBA394" w14:textId="77777777" w:rsidR="006B24EB" w:rsidRDefault="006B24EB">
            <w:pPr>
              <w:rPr>
                <w:rFonts w:ascii="Times New Roman" w:hAnsi="Times New Roman" w:cs="Times New Roman"/>
              </w:rPr>
            </w:pPr>
            <w:r>
              <w:rPr>
                <w:rFonts w:ascii="Calibri" w:hAnsi="Calibri"/>
                <w:color w:val="FF0000"/>
              </w:rPr>
              <w:t>Good point, if there are no objections we can capture it too. I added a note, we can handle the details when drafting the TP.</w:t>
            </w:r>
          </w:p>
        </w:tc>
      </w:tr>
      <w:tr w:rsidR="006B24EB" w14:paraId="3696C96E"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62D74" w14:textId="77777777" w:rsidR="006B24EB" w:rsidRDefault="006B24EB">
            <w:pPr>
              <w:rPr>
                <w:rFonts w:ascii="Times New Roman" w:hAnsi="Times New Roman" w:cs="Times New Roman"/>
              </w:rPr>
            </w:pPr>
            <w:r>
              <w:rPr>
                <w:rFonts w:ascii="Calibri" w:hAnsi="Calibri"/>
              </w:rPr>
              <w:t>Futurewei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7A9DBF" w14:textId="77777777" w:rsidR="006B24EB" w:rsidRDefault="006B24EB">
            <w:pPr>
              <w:rPr>
                <w:rFonts w:ascii="Times New Roman" w:hAnsi="Times New Roman" w:cs="Times New Roman"/>
              </w:rPr>
            </w:pPr>
            <w:r>
              <w:rPr>
                <w:rFonts w:ascii="Calibri" w:hAnsi="Calibri"/>
              </w:rPr>
              <w:t>We are not fully clear as why the UE would send anything, if no data. In a way, a CG is a set of resources the UE may/may not use for transmission on the sidelink. Shouldn’t it then be the same for the associated PUCCH? It has the additional benefit that the gNB can derive information of how much of the resources of the CG are actually used for transmission.</w:t>
            </w:r>
          </w:p>
          <w:p w14:paraId="690283B9" w14:textId="77777777" w:rsidR="006B24EB" w:rsidRDefault="006B24EB">
            <w:pPr>
              <w:rPr>
                <w:rFonts w:ascii="Times New Roman" w:hAnsi="Times New Roman" w:cs="Times New Roman"/>
              </w:rPr>
            </w:pPr>
            <w:r>
              <w:rPr>
                <w:rFonts w:ascii="Calibri" w:hAnsi="Calibri"/>
              </w:rPr>
              <w:t> </w:t>
            </w:r>
          </w:p>
          <w:p w14:paraId="20843A28" w14:textId="77777777" w:rsidR="006B24EB" w:rsidRDefault="006B24EB">
            <w:pPr>
              <w:rPr>
                <w:rFonts w:ascii="Times New Roman" w:hAnsi="Times New Roman" w:cs="Times New Roman"/>
              </w:rPr>
            </w:pPr>
            <w:r>
              <w:rPr>
                <w:rFonts w:ascii="Calibri" w:hAnsi="Calibri"/>
                <w:b/>
                <w:bCs/>
                <w:color w:val="FF0000"/>
              </w:rPr>
              <w:t>FL reply:</w:t>
            </w:r>
          </w:p>
          <w:p w14:paraId="0BB7E43B" w14:textId="77777777" w:rsidR="006B24EB" w:rsidRDefault="006B24EB">
            <w:pPr>
              <w:rPr>
                <w:rFonts w:ascii="Times New Roman" w:hAnsi="Times New Roman" w:cs="Times New Roman"/>
              </w:rPr>
            </w:pPr>
            <w:r>
              <w:rPr>
                <w:rFonts w:ascii="Calibri" w:hAnsi="Calibri"/>
                <w:b/>
                <w:bCs/>
                <w:color w:val="FF0000"/>
              </w:rPr>
              <w:t> </w:t>
            </w:r>
          </w:p>
          <w:p w14:paraId="28BB5ACA" w14:textId="77777777" w:rsidR="006B24EB" w:rsidRDefault="006B24EB">
            <w:pPr>
              <w:rPr>
                <w:rFonts w:ascii="Times New Roman" w:hAnsi="Times New Roman" w:cs="Times New Roman"/>
              </w:rPr>
            </w:pPr>
            <w:r>
              <w:rPr>
                <w:rFonts w:ascii="Calibri" w:hAnsi="Calibri"/>
                <w:color w:val="FF0000"/>
              </w:rPr>
              <w:t>See DOCOMO’s comment below for a justification.</w:t>
            </w:r>
          </w:p>
        </w:tc>
      </w:tr>
      <w:tr w:rsidR="006B24EB" w14:paraId="018E44A1"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BA56D4" w14:textId="77777777" w:rsidR="006B24EB" w:rsidRDefault="006B24EB">
            <w:pPr>
              <w:rPr>
                <w:rFonts w:ascii="Times New Roman" w:hAnsi="Times New Roman" w:cs="Times New Roman"/>
              </w:rPr>
            </w:pPr>
            <w:r>
              <w:rPr>
                <w:rFonts w:ascii="Calibri" w:hAnsi="Calibri"/>
              </w:rPr>
              <w:t>DOCOMO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A1E2FF" w14:textId="77777777" w:rsidR="006B24EB" w:rsidRDefault="006B24EB">
            <w:pPr>
              <w:rPr>
                <w:rFonts w:ascii="Times New Roman" w:hAnsi="Times New Roman" w:cs="Times New Roman"/>
              </w:rPr>
            </w:pPr>
            <w:r>
              <w:rPr>
                <w:rFonts w:ascii="Calibri" w:hAnsi="Calibri"/>
              </w:rPr>
              <w:t>For NR-SL, ACK should be reported as the current proposal even if no data. If SL HARQ-ACK bits are multiplexed on a PUCCH resource, the payload size should be fixed to avoid blind detection at gNB. No HARQ-ACK transmission corresponding to CG resource without SL transmission results in different payload size.</w:t>
            </w:r>
          </w:p>
        </w:tc>
      </w:tr>
      <w:tr w:rsidR="006B24EB" w14:paraId="3F0D06DF" w14:textId="77777777" w:rsidTr="006B24EB">
        <w:trPr>
          <w:trHeight w:val="91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B8ED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sz w:val="20"/>
                <w:szCs w:val="20"/>
              </w:rPr>
              <w:t>Samsung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D4548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sz w:val="20"/>
                <w:szCs w:val="20"/>
              </w:rPr>
              <w:t>We are fine with consistency between Q1 and Q4, but have different understanding on the precedence. For example, if Tx UE drops SL transmission a set of CG resource due to intra-UE prioritization, and actually has no data to transmit on that resources, i.e. condition of both Q1 and Q4 are met, then according to current proposal, Tx UE reports NACK to gNB according to Q1 rule. However, Tx UE actually needs no more SL resource for retransmission. Therefore, we consider the rule of Q4 should have precedence over Q1.</w:t>
            </w:r>
          </w:p>
          <w:p w14:paraId="28BAC237" w14:textId="77777777" w:rsidR="006B24EB" w:rsidRDefault="006B24EB">
            <w:pPr>
              <w:rPr>
                <w:rFonts w:ascii="Times New Roman" w:hAnsi="Times New Roman" w:cs="Times New Roman"/>
              </w:rPr>
            </w:pPr>
            <w:r>
              <w:rPr>
                <w:rFonts w:ascii="Calibri" w:hAnsi="Calibri"/>
                <w:b/>
                <w:bCs/>
                <w:color w:val="FF0000"/>
              </w:rPr>
              <w:t>FL reply:</w:t>
            </w:r>
          </w:p>
          <w:p w14:paraId="1FB97A72" w14:textId="77777777" w:rsidR="006B24EB" w:rsidRDefault="006B24EB">
            <w:pPr>
              <w:rPr>
                <w:rFonts w:ascii="Times New Roman" w:hAnsi="Times New Roman" w:cs="Times New Roman"/>
              </w:rPr>
            </w:pPr>
            <w:r>
              <w:rPr>
                <w:rFonts w:ascii="Calibri" w:hAnsi="Calibri"/>
                <w:b/>
                <w:bCs/>
              </w:rPr>
              <w:t> </w:t>
            </w:r>
          </w:p>
          <w:p w14:paraId="299B1F50" w14:textId="77777777" w:rsidR="006B24EB" w:rsidRDefault="006B24EB">
            <w:pPr>
              <w:rPr>
                <w:rFonts w:ascii="Times New Roman" w:hAnsi="Times New Roman" w:cs="Times New Roman"/>
              </w:rPr>
            </w:pPr>
            <w:r>
              <w:rPr>
                <w:rFonts w:ascii="Calibri" w:hAnsi="Calibri"/>
                <w:color w:val="FF0000"/>
              </w:rPr>
              <w:t>My understanding is that if the UE does not have data to transmit, then there is no intra-UE conflict and no prioritization at all. So it should not be a problem, right?</w:t>
            </w:r>
          </w:p>
        </w:tc>
      </w:tr>
    </w:tbl>
    <w:p w14:paraId="13D9B271" w14:textId="77777777" w:rsidR="006B24EB" w:rsidRDefault="006B24EB" w:rsidP="006B24EB">
      <w:pPr>
        <w:pStyle w:val="Heading3"/>
      </w:pPr>
      <w:r>
        <w:t>Q5: What should the TX UE report in case of reaching the maximum number of HARQ re-transmissions for a TB.</w:t>
      </w:r>
    </w:p>
    <w:p w14:paraId="410198CB" w14:textId="77777777" w:rsidR="006B24EB" w:rsidRDefault="006B24EB" w:rsidP="006B24EB">
      <w:pPr>
        <w:rPr>
          <w:rFonts w:ascii="Times New Roman" w:eastAsia="MS PGothic" w:hAnsi="Times New Roman" w:cs="Times New Roman"/>
          <w:sz w:val="24"/>
          <w:szCs w:val="24"/>
          <w:lang w:val="en-US" w:eastAsia="ja-JP"/>
        </w:rPr>
      </w:pPr>
      <w:r>
        <w:rPr>
          <w:rFonts w:ascii="Calibri" w:hAnsi="Calibri"/>
          <w:lang w:val="en-US" w:eastAsia="ja-JP"/>
        </w:rPr>
        <w:t>Views:</w:t>
      </w:r>
    </w:p>
    <w:tbl>
      <w:tblPr>
        <w:tblW w:w="0" w:type="auto"/>
        <w:tblCellMar>
          <w:left w:w="0" w:type="dxa"/>
          <w:right w:w="0" w:type="dxa"/>
        </w:tblCellMar>
        <w:tblLook w:val="04A0" w:firstRow="1" w:lastRow="0" w:firstColumn="1" w:lastColumn="0" w:noHBand="0" w:noVBand="1"/>
      </w:tblPr>
      <w:tblGrid>
        <w:gridCol w:w="752"/>
        <w:gridCol w:w="8867"/>
      </w:tblGrid>
      <w:tr w:rsidR="006B24EB" w14:paraId="6920D9FE" w14:textId="77777777" w:rsidTr="006B24EB">
        <w:tc>
          <w:tcPr>
            <w:tcW w:w="0" w:type="auto"/>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54F82D4" w14:textId="77777777" w:rsidR="006B24EB" w:rsidRDefault="006B24EB">
            <w:pPr>
              <w:jc w:val="center"/>
              <w:rPr>
                <w:rFonts w:ascii="Times New Roman" w:hAnsi="Times New Roman" w:cs="Times New Roman"/>
                <w:lang w:eastAsia="fi-FI"/>
              </w:rPr>
            </w:pPr>
            <w:r>
              <w:rPr>
                <w:rFonts w:ascii="Calibri" w:hAnsi="Calibri"/>
                <w:b/>
                <w:bCs/>
              </w:rPr>
              <w:t>Company</w:t>
            </w:r>
          </w:p>
        </w:tc>
        <w:tc>
          <w:tcPr>
            <w:tcW w:w="0" w:type="auto"/>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65AEC1D" w14:textId="77777777" w:rsidR="006B24EB" w:rsidRDefault="006B24EB">
            <w:pPr>
              <w:jc w:val="center"/>
              <w:rPr>
                <w:rFonts w:ascii="Times New Roman" w:hAnsi="Times New Roman" w:cs="Times New Roman"/>
              </w:rPr>
            </w:pPr>
            <w:r>
              <w:rPr>
                <w:rFonts w:ascii="Calibri" w:hAnsi="Calibri"/>
                <w:b/>
                <w:bCs/>
                <w:color w:val="000000"/>
              </w:rPr>
              <w:t>View</w:t>
            </w:r>
          </w:p>
        </w:tc>
      </w:tr>
      <w:tr w:rsidR="006B24EB" w14:paraId="3FDE7E7D"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7CDBA" w14:textId="77777777" w:rsidR="006B24EB" w:rsidRDefault="006B24EB">
            <w:pPr>
              <w:rPr>
                <w:rFonts w:ascii="Times New Roman" w:hAnsi="Times New Roman" w:cs="Times New Roman"/>
              </w:rPr>
            </w:pPr>
            <w:r>
              <w:rPr>
                <w:rFonts w:ascii="Calibri" w:hAnsi="Calibri"/>
              </w:rPr>
              <w:t>Panasonic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7C13FD" w14:textId="77777777" w:rsidR="006B24EB" w:rsidRDefault="006B24EB">
            <w:pPr>
              <w:rPr>
                <w:rFonts w:ascii="Times New Roman" w:hAnsi="Times New Roman" w:cs="Times New Roman"/>
              </w:rPr>
            </w:pPr>
            <w:r>
              <w:rPr>
                <w:rFonts w:ascii="Calibri" w:hAnsi="Calibri"/>
              </w:rPr>
              <w:t>On Q5, if Tx UE does not know the maximum number of HARQ re-transmission for a TB, "reaching the maximum number of HARQ re-transmissions for a TB" itself does not happen. Then following would be more correct.</w:t>
            </w:r>
          </w:p>
          <w:p w14:paraId="1617AC53" w14:textId="77777777" w:rsidR="006B24EB" w:rsidRDefault="006B24EB">
            <w:pPr>
              <w:rPr>
                <w:rFonts w:ascii="Times New Roman" w:hAnsi="Times New Roman" w:cs="Times New Roman"/>
              </w:rPr>
            </w:pPr>
            <w:r>
              <w:rPr>
                <w:rFonts w:ascii="Calibri" w:hAnsi="Calibri"/>
                <w:strike/>
                <w:color w:val="FF0000"/>
              </w:rPr>
              <w:t>No specific UE behavior is specified for reporting SL HARQ-ACK to the gNB in case of r</w:t>
            </w:r>
            <w:r>
              <w:rPr>
                <w:rFonts w:ascii="Calibri" w:hAnsi="Calibri"/>
                <w:color w:val="FF0000"/>
              </w:rPr>
              <w:t>There is no case Tx UE identifies to r</w:t>
            </w:r>
            <w:r>
              <w:rPr>
                <w:rFonts w:ascii="Calibri" w:hAnsi="Calibri"/>
              </w:rPr>
              <w:t>eaching the maximum number of HARQ re-transmissions for a TB.</w:t>
            </w:r>
          </w:p>
          <w:p w14:paraId="253AB6B5" w14:textId="77777777" w:rsidR="006B24EB" w:rsidRDefault="006B24EB">
            <w:pPr>
              <w:rPr>
                <w:rFonts w:ascii="Times New Roman" w:hAnsi="Times New Roman" w:cs="Times New Roman"/>
              </w:rPr>
            </w:pPr>
            <w:r>
              <w:rPr>
                <w:rFonts w:ascii="Calibri" w:hAnsi="Calibri"/>
              </w:rPr>
              <w:t> </w:t>
            </w:r>
          </w:p>
          <w:p w14:paraId="58800D54" w14:textId="77777777" w:rsidR="006B24EB" w:rsidRDefault="006B24EB">
            <w:pPr>
              <w:rPr>
                <w:rFonts w:ascii="Times New Roman" w:hAnsi="Times New Roman" w:cs="Times New Roman"/>
              </w:rPr>
            </w:pPr>
            <w:r>
              <w:rPr>
                <w:rFonts w:ascii="Calibri" w:hAnsi="Calibri"/>
                <w:b/>
                <w:bCs/>
                <w:color w:val="FF0000"/>
              </w:rPr>
              <w:t>FL reply:</w:t>
            </w:r>
          </w:p>
          <w:p w14:paraId="438C259C" w14:textId="77777777" w:rsidR="006B24EB" w:rsidRDefault="006B24EB">
            <w:pPr>
              <w:rPr>
                <w:rFonts w:ascii="Times New Roman" w:hAnsi="Times New Roman" w:cs="Times New Roman"/>
              </w:rPr>
            </w:pPr>
            <w:r>
              <w:rPr>
                <w:rFonts w:ascii="Calibri" w:hAnsi="Calibri"/>
                <w:b/>
                <w:bCs/>
                <w:color w:val="FF0000"/>
              </w:rPr>
              <w:t> </w:t>
            </w:r>
          </w:p>
          <w:p w14:paraId="728BA032" w14:textId="77777777" w:rsidR="006B24EB" w:rsidRDefault="006B24EB">
            <w:pPr>
              <w:rPr>
                <w:rFonts w:ascii="Times New Roman" w:hAnsi="Times New Roman" w:cs="Times New Roman"/>
              </w:rPr>
            </w:pPr>
            <w:r>
              <w:rPr>
                <w:rFonts w:ascii="Calibri" w:hAnsi="Calibri"/>
                <w:color w:val="FF0000"/>
              </w:rPr>
              <w:t>My understanding is that there can be cases when the UE reaches the maximum number of re-transmissions and is aware of it. For example, if the gNB would configure a grant with 3 resources per period but limit the maximum number of transmissions to 2. One may argue that this would be a bad configuration but it does contradict the statement that the cases exist.</w:t>
            </w:r>
          </w:p>
          <w:p w14:paraId="718D85CA" w14:textId="77777777" w:rsidR="006B24EB" w:rsidRDefault="006B24EB">
            <w:pPr>
              <w:rPr>
                <w:rFonts w:ascii="Times New Roman" w:hAnsi="Times New Roman" w:cs="Times New Roman"/>
              </w:rPr>
            </w:pPr>
            <w:r>
              <w:rPr>
                <w:rFonts w:ascii="Calibri" w:hAnsi="Calibri"/>
                <w:color w:val="FF0000"/>
              </w:rPr>
              <w:t> </w:t>
            </w:r>
          </w:p>
          <w:p w14:paraId="5D527850" w14:textId="77777777" w:rsidR="006B24EB" w:rsidRDefault="006B24EB">
            <w:pPr>
              <w:rPr>
                <w:rFonts w:ascii="Times New Roman" w:hAnsi="Times New Roman" w:cs="Times New Roman"/>
              </w:rPr>
            </w:pPr>
            <w:r>
              <w:rPr>
                <w:rFonts w:ascii="Calibri" w:hAnsi="Calibri"/>
                <w:color w:val="FF0000"/>
              </w:rPr>
              <w:t>The way I see it, my proposal (which would become a conclusion rather than an agreement) has no specification impact. In contrast, your proposal would have some specification impact (for example, to explicitly prohibit the case I described above). I think this is not the intention.</w:t>
            </w:r>
          </w:p>
        </w:tc>
      </w:tr>
      <w:tr w:rsidR="006B24EB" w14:paraId="5435EBF5"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74AB0" w14:textId="77777777" w:rsidR="006B24EB" w:rsidRDefault="006B24EB">
            <w:pPr>
              <w:rPr>
                <w:rFonts w:ascii="Times New Roman" w:hAnsi="Times New Roman" w:cs="Times New Roman"/>
              </w:rPr>
            </w:pPr>
            <w:r>
              <w:rPr>
                <w:rFonts w:ascii="Calibri" w:hAnsi="Calibri"/>
              </w:rPr>
              <w:t>LGE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E93482"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On Q5, I’d like to understand the current situation.</w:t>
            </w:r>
          </w:p>
          <w:p w14:paraId="4690084A"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 </w:t>
            </w:r>
          </w:p>
          <w:p w14:paraId="1E9AC70B"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In my reading, 13 companies support ACK report for configured grant case and 8 companies thinks that there is no need to specify it.</w:t>
            </w:r>
            <w:r>
              <w:rPr>
                <w:rStyle w:val="apple-converted-space"/>
                <w:rFonts w:ascii="Malgun Gothic" w:eastAsia="Malgun Gothic" w:hAnsi="Malgun Gothic" w:hint="eastAsia"/>
                <w:color w:val="1F497D"/>
                <w:sz w:val="20"/>
                <w:szCs w:val="20"/>
              </w:rPr>
              <w:t> </w:t>
            </w:r>
          </w:p>
          <w:p w14:paraId="32D2A167"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 </w:t>
            </w:r>
          </w:p>
          <w:p w14:paraId="5586ACEE"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Meanwhile, the later 8 companies think that the TX UE does not know the maximum number of HARQ retransmissions.</w:t>
            </w:r>
          </w:p>
          <w:p w14:paraId="2AA50F5D"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 </w:t>
            </w:r>
          </w:p>
          <w:p w14:paraId="194B21A7"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I’m not fully convinced with the above statement. Why the TX UE does not know the current number of HARQ retransmission of a TB, and the maximum number of HARQ retransmission for the TB?</w:t>
            </w:r>
          </w:p>
          <w:p w14:paraId="7256C65A"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 </w:t>
            </w:r>
          </w:p>
          <w:p w14:paraId="06045DDD"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In my understanding, once a TB is transmitted on resources given by CG, even though this TB is retransmitted on a resource scheduled by DG, the TX UE know the current number of HARQ retransmission of the TB, and the maximum number of HARQ retransmission for the TB is already given by the configuration for the CG. We think that it would be desirable to share the maximum number of HARQ retransmission between CG and DG used for scheduling retransmissions of the CG. One more thing I’d like to remind is that RAN1 already agreed that</w:t>
            </w:r>
            <w:r>
              <w:rPr>
                <w:rStyle w:val="apple-converted-space"/>
                <w:rFonts w:ascii="Malgun Gothic" w:eastAsia="Malgun Gothic" w:hAnsi="Malgun Gothic" w:hint="eastAsia"/>
                <w:color w:val="1F497D"/>
                <w:sz w:val="20"/>
                <w:szCs w:val="20"/>
              </w:rPr>
              <w:t> </w:t>
            </w:r>
            <w:r>
              <w:rPr>
                <w:rFonts w:ascii="Malgun Gothic" w:eastAsia="Malgun Gothic" w:hAnsi="Malgun Gothic" w:hint="eastAsia"/>
                <w:color w:val="1F497D"/>
                <w:sz w:val="20"/>
                <w:szCs w:val="20"/>
              </w:rPr>
              <w:t>“For dynamic grant and CG, if the gNB provides PUCCH resources for feedback, the UE reports SL HARQ FB to the gNB”. This mean that once the gNB allocate PUCCH resource, the TX UE should perform PUCCH transmission. In summary, we propose to update the following proposal.</w:t>
            </w:r>
            <w:r>
              <w:rPr>
                <w:rStyle w:val="apple-converted-space"/>
                <w:rFonts w:ascii="Malgun Gothic" w:eastAsia="Malgun Gothic" w:hAnsi="Malgun Gothic" w:hint="eastAsia"/>
                <w:color w:val="1F497D"/>
                <w:sz w:val="20"/>
                <w:szCs w:val="20"/>
              </w:rPr>
              <w:t> </w:t>
            </w:r>
          </w:p>
          <w:p w14:paraId="7091A1CD"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 </w:t>
            </w:r>
          </w:p>
          <w:p w14:paraId="1DF9305C" w14:textId="77777777" w:rsidR="006B24EB" w:rsidRDefault="006B24EB">
            <w:pPr>
              <w:wordWrap w:val="0"/>
              <w:rPr>
                <w:rFonts w:ascii="Times New Roman" w:hAnsi="Times New Roman" w:cs="Times New Roman"/>
              </w:rPr>
            </w:pPr>
            <w:r>
              <w:rPr>
                <w:rFonts w:ascii="Calibri" w:hAnsi="Calibri"/>
                <w:b/>
                <w:bCs/>
                <w:sz w:val="20"/>
                <w:szCs w:val="20"/>
              </w:rPr>
              <w:t>Proposal</w:t>
            </w:r>
            <w:r>
              <w:rPr>
                <w:rFonts w:ascii="Calibri" w:hAnsi="Calibri"/>
                <w:sz w:val="20"/>
                <w:szCs w:val="20"/>
              </w:rPr>
              <w:t>:</w:t>
            </w:r>
            <w:r>
              <w:rPr>
                <w:rStyle w:val="apple-converted-space"/>
                <w:rFonts w:ascii="Calibri" w:hAnsi="Calibri"/>
                <w:sz w:val="20"/>
                <w:szCs w:val="20"/>
              </w:rPr>
              <w:t> </w:t>
            </w:r>
            <w:r>
              <w:rPr>
                <w:rFonts w:ascii="Calibri" w:hAnsi="Calibri"/>
                <w:strike/>
                <w:color w:val="FF0000"/>
                <w:sz w:val="20"/>
                <w:szCs w:val="20"/>
              </w:rPr>
              <w:t>No specific UE behavior is specified for reporting SL HARQ-ACK</w:t>
            </w:r>
            <w:r>
              <w:rPr>
                <w:rStyle w:val="apple-converted-space"/>
                <w:rFonts w:ascii="Calibri" w:hAnsi="Calibri"/>
                <w:sz w:val="20"/>
                <w:szCs w:val="20"/>
              </w:rPr>
              <w:t> </w:t>
            </w:r>
            <w:r>
              <w:rPr>
                <w:rFonts w:ascii="Calibri" w:hAnsi="Calibri"/>
                <w:color w:val="FF0000"/>
                <w:sz w:val="20"/>
                <w:szCs w:val="20"/>
              </w:rPr>
              <w:t>the TX UE reports ACK</w:t>
            </w:r>
            <w:r>
              <w:rPr>
                <w:rStyle w:val="apple-converted-space"/>
                <w:rFonts w:ascii="Calibri" w:hAnsi="Calibri"/>
                <w:color w:val="FF0000"/>
                <w:sz w:val="20"/>
                <w:szCs w:val="20"/>
              </w:rPr>
              <w:t> </w:t>
            </w:r>
            <w:r>
              <w:rPr>
                <w:rFonts w:ascii="Calibri" w:hAnsi="Calibri"/>
                <w:sz w:val="20"/>
                <w:szCs w:val="20"/>
              </w:rPr>
              <w:t>to the gNB in case of reaching the maximum number of HARQ re-transmissions for a TB.</w:t>
            </w:r>
          </w:p>
          <w:p w14:paraId="7BC0E8B3" w14:textId="77777777" w:rsidR="006B24EB" w:rsidRDefault="006B24EB">
            <w:pPr>
              <w:wordWrap w:val="0"/>
              <w:ind w:hanging="400"/>
              <w:rPr>
                <w:rFonts w:ascii="Times New Roman" w:hAnsi="Times New Roman" w:cs="Times New Roman"/>
              </w:rPr>
            </w:pPr>
            <w:r>
              <w:rPr>
                <w:rFonts w:ascii="Wingdings" w:hAnsi="Wingdings"/>
                <w:color w:val="FF0000"/>
                <w:sz w:val="20"/>
                <w:szCs w:val="20"/>
              </w:rPr>
              <w:t></w:t>
            </w:r>
            <w:r>
              <w:rPr>
                <w:rFonts w:ascii="Times New Roman" w:hAnsi="Times New Roman" w:cs="Times New Roman"/>
                <w:color w:val="FF0000"/>
                <w:sz w:val="14"/>
                <w:szCs w:val="14"/>
              </w:rPr>
              <w:t> </w:t>
            </w:r>
            <w:r>
              <w:rPr>
                <w:rStyle w:val="apple-converted-space"/>
                <w:rFonts w:ascii="Times New Roman" w:hAnsi="Times New Roman" w:cs="Times New Roman"/>
                <w:color w:val="FF0000"/>
                <w:sz w:val="14"/>
                <w:szCs w:val="14"/>
              </w:rPr>
              <w:t> </w:t>
            </w:r>
            <w:r>
              <w:rPr>
                <w:rFonts w:ascii="Calibri" w:hAnsi="Calibri"/>
                <w:color w:val="FF0000"/>
                <w:sz w:val="20"/>
                <w:szCs w:val="20"/>
              </w:rPr>
              <w:t>The maximum number of HARQ retransmission for a TB configured for a CG is used for DG scheduling retransmission of this TB.</w:t>
            </w:r>
          </w:p>
          <w:p w14:paraId="32AC0C78" w14:textId="77777777" w:rsidR="006B24EB" w:rsidRDefault="006B24EB">
            <w:pPr>
              <w:wordWrap w:val="0"/>
              <w:rPr>
                <w:rFonts w:ascii="Times New Roman" w:hAnsi="Times New Roman" w:cs="Times New Roman"/>
              </w:rPr>
            </w:pPr>
            <w:r>
              <w:rPr>
                <w:rFonts w:ascii="Malgun Gothic" w:eastAsia="Malgun Gothic" w:hAnsi="Malgun Gothic" w:hint="eastAsia"/>
                <w:color w:val="FF0000"/>
                <w:sz w:val="20"/>
                <w:szCs w:val="20"/>
              </w:rPr>
              <w:t> </w:t>
            </w:r>
          </w:p>
          <w:p w14:paraId="0D6731BC" w14:textId="77777777" w:rsidR="006B24EB" w:rsidRDefault="006B24EB">
            <w:pPr>
              <w:wordWrap w:val="0"/>
              <w:rPr>
                <w:rFonts w:ascii="Times New Roman" w:hAnsi="Times New Roman" w:cs="Times New Roman"/>
              </w:rPr>
            </w:pPr>
            <w:r>
              <w:rPr>
                <w:rFonts w:ascii="Malgun Gothic" w:eastAsia="Malgun Gothic" w:hAnsi="Malgun Gothic" w:hint="eastAsia"/>
                <w:b/>
                <w:bCs/>
                <w:color w:val="FF0000"/>
                <w:sz w:val="20"/>
                <w:szCs w:val="20"/>
              </w:rPr>
              <w:t>FL reply:</w:t>
            </w:r>
          </w:p>
          <w:p w14:paraId="4AEBC07A" w14:textId="77777777" w:rsidR="006B24EB" w:rsidRDefault="006B24EB">
            <w:pPr>
              <w:wordWrap w:val="0"/>
              <w:rPr>
                <w:rFonts w:ascii="Times New Roman" w:hAnsi="Times New Roman" w:cs="Times New Roman"/>
              </w:rPr>
            </w:pPr>
            <w:r>
              <w:rPr>
                <w:rFonts w:ascii="Malgun Gothic" w:eastAsia="Malgun Gothic" w:hAnsi="Malgun Gothic" w:hint="eastAsia"/>
                <w:color w:val="FF0000"/>
                <w:sz w:val="20"/>
                <w:szCs w:val="20"/>
              </w:rPr>
              <w:t>I think we should avoid making majority/minority decisions without solid technical justification. The agreements that we made regarding the maximum number of transmissions of a TB clearly state that this refers to the resources provided by the configured grant. Without further modifications, I don’t think that the restriction applies to retransmissions scheduled by DG. In that regard, I think it is correct to say that in most cases of interest, there is no maximum number of times that a TB can be transmitted.</w:t>
            </w:r>
          </w:p>
          <w:p w14:paraId="5143F797" w14:textId="77777777" w:rsidR="006B24EB" w:rsidRDefault="006B24EB">
            <w:pPr>
              <w:wordWrap w:val="0"/>
              <w:rPr>
                <w:rFonts w:ascii="Times New Roman" w:hAnsi="Times New Roman" w:cs="Times New Roman"/>
              </w:rPr>
            </w:pPr>
            <w:r>
              <w:rPr>
                <w:rFonts w:ascii="Malgun Gothic" w:eastAsia="Malgun Gothic" w:hAnsi="Malgun Gothic" w:hint="eastAsia"/>
                <w:color w:val="FF0000"/>
                <w:sz w:val="20"/>
                <w:szCs w:val="20"/>
              </w:rPr>
              <w:t> </w:t>
            </w:r>
          </w:p>
          <w:p w14:paraId="377E2B94" w14:textId="77777777" w:rsidR="006B24EB" w:rsidRDefault="006B24EB">
            <w:pPr>
              <w:rPr>
                <w:rFonts w:ascii="Times New Roman" w:hAnsi="Times New Roman" w:cs="Times New Roman"/>
              </w:rPr>
            </w:pPr>
            <w:r>
              <w:rPr>
                <w:rFonts w:ascii="Calibri" w:hAnsi="Calibri"/>
                <w:color w:val="000000"/>
                <w:shd w:val="clear" w:color="auto" w:fill="00FF00"/>
              </w:rPr>
              <w:t>Agreements</w:t>
            </w:r>
            <w:r>
              <w:rPr>
                <w:rFonts w:ascii="Calibri" w:hAnsi="Calibri"/>
              </w:rPr>
              <w:t>:</w:t>
            </w:r>
          </w:p>
          <w:p w14:paraId="7E5AB0CB" w14:textId="77777777" w:rsidR="006B24EB" w:rsidRDefault="006B24EB" w:rsidP="006B24EB">
            <w:pPr>
              <w:numPr>
                <w:ilvl w:val="0"/>
                <w:numId w:val="29"/>
              </w:numPr>
              <w:spacing w:before="100" w:beforeAutospacing="1" w:line="189" w:lineRule="atLeast"/>
              <w:rPr>
                <w:rFonts w:ascii="Times New Roman" w:hAnsi="Times New Roman" w:cs="Times New Roman"/>
              </w:rPr>
            </w:pPr>
            <w:r>
              <w:rPr>
                <w:rFonts w:ascii="Calibri" w:hAnsi="Calibri"/>
              </w:rPr>
              <w:t>For dynamic grant, the number of retransmissions of a TB is up to the gNB.</w:t>
            </w:r>
          </w:p>
          <w:p w14:paraId="783D4864" w14:textId="77777777" w:rsidR="006B24EB" w:rsidRDefault="006B24EB" w:rsidP="006B24EB">
            <w:pPr>
              <w:numPr>
                <w:ilvl w:val="0"/>
                <w:numId w:val="29"/>
              </w:numPr>
              <w:spacing w:before="100" w:beforeAutospacing="1" w:line="189" w:lineRule="atLeast"/>
              <w:rPr>
                <w:rFonts w:ascii="Times New Roman" w:hAnsi="Times New Roman" w:cs="Times New Roman"/>
              </w:rPr>
            </w:pPr>
            <w:r>
              <w:rPr>
                <w:rFonts w:ascii="Calibri" w:hAnsi="Calibri"/>
              </w:rPr>
              <w:t>For configured grant,</w:t>
            </w:r>
            <w:r>
              <w:rPr>
                <w:rStyle w:val="apple-converted-space"/>
                <w:rFonts w:ascii="Calibri" w:hAnsi="Calibri"/>
              </w:rPr>
              <w:t> </w:t>
            </w:r>
            <w:r>
              <w:rPr>
                <w:rFonts w:ascii="Calibri" w:hAnsi="Calibri"/>
                <w:color w:val="000000"/>
                <w:shd w:val="clear" w:color="auto" w:fill="FFFF00"/>
              </w:rPr>
              <w:t>the maximum number of times that a TB can be retransmitted using the resources provided by the configured grant</w:t>
            </w:r>
            <w:r>
              <w:rPr>
                <w:rStyle w:val="apple-converted-space"/>
                <w:rFonts w:ascii="Calibri" w:hAnsi="Calibri"/>
              </w:rPr>
              <w:t> </w:t>
            </w:r>
            <w:r>
              <w:rPr>
                <w:rFonts w:ascii="Calibri" w:hAnsi="Calibri"/>
              </w:rPr>
              <w:t>is configured per priority per configured grant.</w:t>
            </w:r>
          </w:p>
          <w:p w14:paraId="620F0CDA" w14:textId="77777777" w:rsidR="006B24EB" w:rsidRDefault="006B24EB">
            <w:pPr>
              <w:rPr>
                <w:rFonts w:ascii="Times New Roman" w:hAnsi="Times New Roman" w:cs="Times New Roman"/>
              </w:rPr>
            </w:pPr>
            <w:r>
              <w:rPr>
                <w:rFonts w:ascii="Malgun Gothic" w:eastAsia="Malgun Gothic" w:hAnsi="Malgun Gothic" w:hint="eastAsia"/>
                <w:color w:val="FF0000"/>
                <w:sz w:val="20"/>
                <w:szCs w:val="20"/>
                <w:lang w:val="x-none"/>
              </w:rPr>
              <w:t> </w:t>
            </w:r>
          </w:p>
          <w:p w14:paraId="766CF004" w14:textId="77777777" w:rsidR="006B24EB" w:rsidRDefault="006B24EB">
            <w:pPr>
              <w:wordWrap w:val="0"/>
              <w:rPr>
                <w:rFonts w:ascii="Malgun Gothic" w:eastAsia="Malgun Gothic" w:hAnsi="Malgun Gothic" w:cs="Calibri"/>
                <w:color w:val="1F497D"/>
                <w:sz w:val="20"/>
                <w:szCs w:val="20"/>
                <w:lang w:eastAsia="ko-KR"/>
              </w:rPr>
            </w:pPr>
            <w:r>
              <w:rPr>
                <w:rFonts w:ascii="Calibri" w:hAnsi="Calibri"/>
              </w:rPr>
              <w:t> </w:t>
            </w:r>
            <w:r>
              <w:rPr>
                <w:rFonts w:ascii="Malgun Gothic" w:eastAsia="Malgun Gothic" w:hAnsi="Malgun Gothic" w:hint="eastAsia"/>
                <w:color w:val="1F497D"/>
                <w:sz w:val="20"/>
                <w:szCs w:val="20"/>
                <w:lang w:eastAsia="ko-KR"/>
              </w:rPr>
              <w:t xml:space="preserve">I have clarification question on the proposal for Q5. </w:t>
            </w:r>
          </w:p>
          <w:p w14:paraId="4C40CE13" w14:textId="77777777" w:rsidR="006B24EB" w:rsidRDefault="006B24EB">
            <w:pPr>
              <w:wordWrap w:val="0"/>
              <w:rPr>
                <w:rFonts w:ascii="Malgun Gothic" w:eastAsia="Malgun Gothic" w:hAnsi="Malgun Gothic" w:hint="eastAsia"/>
                <w:color w:val="1F497D"/>
                <w:sz w:val="20"/>
                <w:szCs w:val="20"/>
                <w:lang w:eastAsia="ko-KR"/>
              </w:rPr>
            </w:pPr>
          </w:p>
          <w:p w14:paraId="6D2E9C38" w14:textId="77777777" w:rsidR="006B24EB" w:rsidRDefault="006B24EB">
            <w:pPr>
              <w:rPr>
                <w:rFonts w:ascii="Times New Roman" w:eastAsia="MS PGothic" w:hAnsi="Times New Roman" w:cs="Times New Roman" w:hint="eastAsia"/>
                <w:sz w:val="24"/>
                <w:szCs w:val="24"/>
                <w:lang w:eastAsia="fi-FI"/>
              </w:rPr>
            </w:pPr>
            <w:r>
              <w:rPr>
                <w:rFonts w:ascii="Calibri" w:hAnsi="Calibri"/>
                <w:b/>
                <w:bCs/>
                <w:color w:val="000000"/>
                <w:shd w:val="clear" w:color="auto" w:fill="FFFF00"/>
              </w:rPr>
              <w:t>Proposal</w:t>
            </w:r>
            <w:r>
              <w:rPr>
                <w:rFonts w:ascii="Calibri" w:hAnsi="Calibri"/>
              </w:rPr>
              <w:t>: No specific UE behavior is specified for reporting SL HARQ-ACK to the gNB in case of reaching the maximum number of HARQ re-transmissions for a TB.</w:t>
            </w:r>
          </w:p>
          <w:p w14:paraId="302C1112" w14:textId="77777777" w:rsidR="006B24EB" w:rsidRDefault="006B24EB">
            <w:pPr>
              <w:wordWrap w:val="0"/>
              <w:rPr>
                <w:rFonts w:ascii="Malgun Gothic" w:eastAsia="Malgun Gothic" w:hAnsi="Malgun Gothic" w:cs="Calibri"/>
                <w:color w:val="1F497D"/>
                <w:sz w:val="20"/>
                <w:szCs w:val="20"/>
                <w:lang w:eastAsia="ko-KR"/>
              </w:rPr>
            </w:pPr>
          </w:p>
          <w:p w14:paraId="2597BBC7" w14:textId="77777777" w:rsidR="006B24EB" w:rsidRDefault="006B24EB">
            <w:pPr>
              <w:wordWrap w:val="0"/>
              <w:rPr>
                <w:rFonts w:ascii="Malgun Gothic" w:eastAsia="Malgun Gothic" w:hAnsi="Malgun Gothic" w:hint="eastAsia"/>
                <w:color w:val="1F497D"/>
                <w:sz w:val="20"/>
                <w:szCs w:val="20"/>
                <w:lang w:eastAsia="ko-KR"/>
              </w:rPr>
            </w:pPr>
            <w:r>
              <w:rPr>
                <w:rFonts w:ascii="Malgun Gothic" w:eastAsia="Malgun Gothic" w:hAnsi="Malgun Gothic" w:hint="eastAsia"/>
                <w:color w:val="1F497D"/>
                <w:sz w:val="20"/>
                <w:szCs w:val="20"/>
                <w:lang w:eastAsia="ko-KR"/>
              </w:rPr>
              <w:t xml:space="preserve">Does it mean that the TX UE still report SL HARQ feedback to the gNB when PUCCH resource is available, and the which HARQ state will be reported is up to UE implementation? Or, does it mean that the UE will perform reporting SL HARQ-ACK to the gNB regardless of whether the maximum number of HARQ re-transmissions for a TB is reached or not? </w:t>
            </w:r>
          </w:p>
          <w:p w14:paraId="490B8BC5" w14:textId="77777777" w:rsidR="006B24EB" w:rsidRDefault="006B24EB">
            <w:pPr>
              <w:wordWrap w:val="0"/>
              <w:rPr>
                <w:rFonts w:ascii="Malgun Gothic" w:eastAsia="Malgun Gothic" w:hAnsi="Malgun Gothic" w:hint="eastAsia"/>
                <w:color w:val="1F497D"/>
                <w:sz w:val="20"/>
                <w:szCs w:val="20"/>
                <w:lang w:eastAsia="ko-KR"/>
              </w:rPr>
            </w:pPr>
          </w:p>
          <w:p w14:paraId="5AFDF389" w14:textId="77777777" w:rsidR="006B24EB" w:rsidRDefault="006B24EB">
            <w:pPr>
              <w:wordWrap w:val="0"/>
              <w:rPr>
                <w:rFonts w:ascii="Malgun Gothic" w:eastAsia="Malgun Gothic" w:hAnsi="Malgun Gothic" w:hint="eastAsia"/>
                <w:color w:val="1F497D"/>
                <w:sz w:val="20"/>
                <w:szCs w:val="20"/>
                <w:lang w:eastAsia="ko-KR"/>
              </w:rPr>
            </w:pPr>
            <w:r>
              <w:rPr>
                <w:rFonts w:ascii="Malgun Gothic" w:eastAsia="Malgun Gothic" w:hAnsi="Malgun Gothic" w:hint="eastAsia"/>
                <w:color w:val="1F497D"/>
                <w:sz w:val="20"/>
                <w:szCs w:val="20"/>
                <w:lang w:eastAsia="ko-KR"/>
              </w:rPr>
              <w:t>If earlier one is correct understanding, could you update this proposal like proposal in Q6 as follows?</w:t>
            </w:r>
          </w:p>
          <w:p w14:paraId="5B74A8FB" w14:textId="77777777" w:rsidR="006B24EB" w:rsidRDefault="006B24EB">
            <w:pPr>
              <w:wordWrap w:val="0"/>
              <w:rPr>
                <w:rFonts w:ascii="Malgun Gothic" w:eastAsia="Malgun Gothic" w:hAnsi="Malgun Gothic" w:hint="eastAsia"/>
                <w:color w:val="1F497D"/>
                <w:sz w:val="20"/>
                <w:szCs w:val="20"/>
                <w:lang w:eastAsia="ko-KR"/>
              </w:rPr>
            </w:pPr>
          </w:p>
          <w:p w14:paraId="258399B3" w14:textId="77777777" w:rsidR="006B24EB" w:rsidRDefault="006B24EB">
            <w:pPr>
              <w:rPr>
                <w:rFonts w:ascii="Times New Roman" w:eastAsia="MS PGothic" w:hAnsi="Times New Roman" w:cs="Times New Roman" w:hint="eastAsia"/>
                <w:sz w:val="24"/>
                <w:szCs w:val="24"/>
                <w:lang w:eastAsia="fi-FI"/>
              </w:rPr>
            </w:pPr>
            <w:r>
              <w:rPr>
                <w:rFonts w:ascii="Calibri" w:hAnsi="Calibri"/>
                <w:b/>
                <w:bCs/>
                <w:color w:val="000000"/>
                <w:shd w:val="clear" w:color="auto" w:fill="FFFF00"/>
              </w:rPr>
              <w:t>Proposal:</w:t>
            </w:r>
            <w:r>
              <w:rPr>
                <w:rFonts w:ascii="Calibri" w:hAnsi="Calibri"/>
              </w:rPr>
              <w:t>  In case of reaching the maximum number of HARQ re-transmissions for a TB, the UE decides whether to report ACK or NACK</w:t>
            </w:r>
            <w:r>
              <w:rPr>
                <w:rStyle w:val="apple-converted-space"/>
                <w:rFonts w:ascii="Calibri" w:hAnsi="Calibri"/>
              </w:rPr>
              <w:t> </w:t>
            </w:r>
            <w:r>
              <w:rPr>
                <w:rFonts w:ascii="Calibri" w:hAnsi="Calibri"/>
              </w:rPr>
              <w:t>(i.e., up to UE implementation).</w:t>
            </w:r>
          </w:p>
          <w:p w14:paraId="44AC2CD0" w14:textId="77777777" w:rsidR="006B24EB" w:rsidRDefault="006B24EB">
            <w:pPr>
              <w:wordWrap w:val="0"/>
              <w:rPr>
                <w:rFonts w:ascii="Malgun Gothic" w:eastAsia="Malgun Gothic" w:hAnsi="Malgun Gothic" w:cs="Calibri"/>
                <w:color w:val="1F497D"/>
                <w:sz w:val="20"/>
                <w:szCs w:val="20"/>
                <w:lang w:eastAsia="ko-KR"/>
              </w:rPr>
            </w:pPr>
            <w:r>
              <w:rPr>
                <w:rFonts w:ascii="Malgun Gothic" w:eastAsia="Malgun Gothic" w:hAnsi="Malgun Gothic" w:hint="eastAsia"/>
                <w:color w:val="1F497D"/>
                <w:sz w:val="20"/>
                <w:szCs w:val="20"/>
                <w:lang w:eastAsia="ko-KR"/>
              </w:rPr>
              <w:t xml:space="preserve">                                                                                                                                                                                                                </w:t>
            </w:r>
          </w:p>
          <w:p w14:paraId="1C3FF7AA" w14:textId="77777777" w:rsidR="006B24EB" w:rsidRDefault="006B24EB">
            <w:pPr>
              <w:wordWrap w:val="0"/>
              <w:rPr>
                <w:rFonts w:ascii="Times New Roman" w:eastAsia="MS PGothic" w:hAnsi="Times New Roman" w:cs="Times New Roman" w:hint="eastAsia"/>
                <w:sz w:val="24"/>
                <w:szCs w:val="24"/>
                <w:lang w:eastAsia="fi-FI"/>
              </w:rPr>
            </w:pPr>
            <w:r>
              <w:rPr>
                <w:rFonts w:ascii="Malgun Gothic" w:eastAsia="Malgun Gothic" w:hAnsi="Malgun Gothic" w:hint="eastAsia"/>
                <w:b/>
                <w:bCs/>
                <w:color w:val="FF0000"/>
                <w:sz w:val="20"/>
                <w:szCs w:val="20"/>
              </w:rPr>
              <w:t>FL reply:</w:t>
            </w:r>
          </w:p>
          <w:p w14:paraId="5D0CEEE7" w14:textId="77777777" w:rsidR="006B24EB" w:rsidRDefault="006B24EB">
            <w:pPr>
              <w:wordWrap w:val="0"/>
              <w:rPr>
                <w:rFonts w:ascii="Malgun Gothic" w:eastAsia="Malgun Gothic" w:hAnsi="Malgun Gothic" w:cs="Calibri"/>
                <w:color w:val="1F497D"/>
                <w:sz w:val="20"/>
                <w:szCs w:val="20"/>
                <w:lang w:eastAsia="ko-KR"/>
              </w:rPr>
            </w:pPr>
            <w:r>
              <w:rPr>
                <w:rFonts w:ascii="Malgun Gothic" w:eastAsia="Malgun Gothic" w:hAnsi="Malgun Gothic" w:hint="eastAsia"/>
                <w:color w:val="FF0000"/>
                <w:sz w:val="20"/>
                <w:szCs w:val="20"/>
                <w:lang w:eastAsia="ko-KR"/>
              </w:rPr>
              <w:t>I take your suggestion.</w:t>
            </w:r>
          </w:p>
        </w:tc>
      </w:tr>
    </w:tbl>
    <w:p w14:paraId="793052BA" w14:textId="77777777" w:rsidR="006B24EB" w:rsidRDefault="006B24EB" w:rsidP="006B24EB">
      <w:pPr>
        <w:pStyle w:val="Heading3"/>
      </w:pPr>
      <w:r>
        <w:t>Q6: What should the TX UE report in case that the SL transmission does not use SL HARQ feedback.</w:t>
      </w:r>
    </w:p>
    <w:p w14:paraId="492D980D" w14:textId="77777777" w:rsidR="006B24EB" w:rsidRDefault="006B24EB" w:rsidP="006B24EB">
      <w:pPr>
        <w:rPr>
          <w:rFonts w:ascii="Times New Roman" w:eastAsia="MS PGothic" w:hAnsi="Times New Roman" w:cs="Times New Roman"/>
          <w:sz w:val="24"/>
          <w:szCs w:val="24"/>
          <w:lang w:val="en-US" w:eastAsia="ja-JP"/>
        </w:rPr>
      </w:pPr>
      <w:r>
        <w:rPr>
          <w:rFonts w:ascii="Calibri" w:hAnsi="Calibri"/>
          <w:lang w:val="en-US" w:eastAsia="ja-JP"/>
        </w:rPr>
        <w:t>Views:</w:t>
      </w:r>
    </w:p>
    <w:tbl>
      <w:tblPr>
        <w:tblW w:w="0" w:type="auto"/>
        <w:tblCellMar>
          <w:left w:w="0" w:type="dxa"/>
          <w:right w:w="0" w:type="dxa"/>
        </w:tblCellMar>
        <w:tblLook w:val="04A0" w:firstRow="1" w:lastRow="0" w:firstColumn="1" w:lastColumn="0" w:noHBand="0" w:noVBand="1"/>
      </w:tblPr>
      <w:tblGrid>
        <w:gridCol w:w="1591"/>
        <w:gridCol w:w="8028"/>
      </w:tblGrid>
      <w:tr w:rsidR="006B24EB" w14:paraId="497A573F" w14:textId="77777777" w:rsidTr="006B24EB">
        <w:tc>
          <w:tcPr>
            <w:tcW w:w="0" w:type="auto"/>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52F0515" w14:textId="77777777" w:rsidR="006B24EB" w:rsidRDefault="006B24EB">
            <w:pPr>
              <w:jc w:val="center"/>
              <w:rPr>
                <w:rFonts w:ascii="Times New Roman" w:hAnsi="Times New Roman" w:cs="Times New Roman"/>
                <w:lang w:eastAsia="fi-FI"/>
              </w:rPr>
            </w:pPr>
            <w:r>
              <w:rPr>
                <w:rFonts w:ascii="Calibri" w:hAnsi="Calibri"/>
                <w:b/>
                <w:bCs/>
              </w:rPr>
              <w:t>Com</w:t>
            </w:r>
            <w:r>
              <w:rPr>
                <w:rFonts w:ascii="Calibri" w:hAnsi="Calibri"/>
                <w:b/>
                <w:bCs/>
                <w:color w:val="000000"/>
              </w:rPr>
              <w:t>pany</w:t>
            </w:r>
          </w:p>
        </w:tc>
        <w:tc>
          <w:tcPr>
            <w:tcW w:w="0" w:type="auto"/>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7E2F915" w14:textId="77777777" w:rsidR="006B24EB" w:rsidRDefault="006B24EB">
            <w:pPr>
              <w:jc w:val="center"/>
              <w:rPr>
                <w:rFonts w:ascii="Times New Roman" w:hAnsi="Times New Roman" w:cs="Times New Roman"/>
              </w:rPr>
            </w:pPr>
            <w:r>
              <w:rPr>
                <w:rFonts w:ascii="Calibri" w:hAnsi="Calibri"/>
                <w:b/>
                <w:bCs/>
                <w:color w:val="000000"/>
              </w:rPr>
              <w:t>View</w:t>
            </w:r>
          </w:p>
        </w:tc>
      </w:tr>
      <w:tr w:rsidR="006B24EB" w14:paraId="26EB71B9"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1E3B3" w14:textId="77777777" w:rsidR="006B24EB" w:rsidRDefault="006B24EB">
            <w:pPr>
              <w:rPr>
                <w:rFonts w:ascii="Times New Roman" w:hAnsi="Times New Roman" w:cs="Times New Roman"/>
              </w:rPr>
            </w:pPr>
            <w:r>
              <w:rPr>
                <w:rFonts w:ascii="Calibri" w:hAnsi="Calibri"/>
              </w:rPr>
              <w:t>Panasonic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3945BC" w14:textId="77777777" w:rsidR="006B24EB" w:rsidRDefault="006B24EB">
            <w:pPr>
              <w:rPr>
                <w:rFonts w:ascii="Times New Roman" w:hAnsi="Times New Roman" w:cs="Times New Roman"/>
              </w:rPr>
            </w:pPr>
            <w:r>
              <w:rPr>
                <w:rFonts w:ascii="Calibri" w:hAnsi="Calibri"/>
              </w:rPr>
              <w:t>On Q6, if the intention is no specific conclusion whether this case happen or not in RAN1 but to progress, to add "from RAN1 perspective" can be good.</w:t>
            </w:r>
          </w:p>
          <w:p w14:paraId="093512F2" w14:textId="77777777" w:rsidR="006B24EB" w:rsidRDefault="006B24EB">
            <w:pPr>
              <w:rPr>
                <w:rFonts w:ascii="Times New Roman" w:hAnsi="Times New Roman" w:cs="Times New Roman"/>
              </w:rPr>
            </w:pPr>
            <w:r>
              <w:rPr>
                <w:rFonts w:ascii="Calibri" w:hAnsi="Calibri"/>
              </w:rPr>
              <w:t>The TX UE reports ACK in case that the SL transmission does not use SL HARQ feedback</w:t>
            </w:r>
            <w:r>
              <w:rPr>
                <w:rStyle w:val="apple-converted-space"/>
                <w:rFonts w:ascii="Calibri" w:hAnsi="Calibri"/>
                <w:color w:val="FF0000"/>
              </w:rPr>
              <w:t> </w:t>
            </w:r>
            <w:r>
              <w:rPr>
                <w:rFonts w:ascii="Calibri" w:hAnsi="Calibri"/>
                <w:color w:val="FF0000"/>
              </w:rPr>
              <w:t>from RAN1 perspective</w:t>
            </w:r>
            <w:r>
              <w:rPr>
                <w:rFonts w:ascii="Calibri" w:hAnsi="Calibri"/>
              </w:rPr>
              <w:t>.</w:t>
            </w:r>
          </w:p>
          <w:p w14:paraId="542472A1" w14:textId="77777777" w:rsidR="006B24EB" w:rsidRDefault="006B24EB">
            <w:pPr>
              <w:rPr>
                <w:rFonts w:ascii="Times New Roman" w:hAnsi="Times New Roman" w:cs="Times New Roman"/>
              </w:rPr>
            </w:pPr>
            <w:r>
              <w:rPr>
                <w:rFonts w:ascii="Calibri" w:hAnsi="Calibri"/>
              </w:rPr>
              <w:t> </w:t>
            </w:r>
          </w:p>
          <w:p w14:paraId="154E647B" w14:textId="77777777" w:rsidR="006B24EB" w:rsidRDefault="006B24EB">
            <w:pPr>
              <w:rPr>
                <w:rFonts w:ascii="Times New Roman" w:hAnsi="Times New Roman" w:cs="Times New Roman"/>
              </w:rPr>
            </w:pPr>
            <w:r>
              <w:rPr>
                <w:rFonts w:ascii="Calibri" w:hAnsi="Calibri"/>
                <w:b/>
                <w:bCs/>
                <w:color w:val="FF0000"/>
              </w:rPr>
              <w:t>FL reply:</w:t>
            </w:r>
          </w:p>
          <w:p w14:paraId="7B717BED" w14:textId="77777777" w:rsidR="006B24EB" w:rsidRDefault="006B24EB">
            <w:pPr>
              <w:rPr>
                <w:rFonts w:ascii="Times New Roman" w:hAnsi="Times New Roman" w:cs="Times New Roman"/>
              </w:rPr>
            </w:pPr>
            <w:r>
              <w:rPr>
                <w:rFonts w:ascii="Calibri" w:hAnsi="Calibri"/>
                <w:b/>
                <w:bCs/>
                <w:color w:val="FF0000"/>
              </w:rPr>
              <w:t> </w:t>
            </w:r>
          </w:p>
          <w:p w14:paraId="4BAC2A9C" w14:textId="77777777" w:rsidR="006B24EB" w:rsidRDefault="006B24EB">
            <w:pPr>
              <w:rPr>
                <w:rFonts w:ascii="Times New Roman" w:hAnsi="Times New Roman" w:cs="Times New Roman"/>
              </w:rPr>
            </w:pPr>
            <w:r>
              <w:rPr>
                <w:rFonts w:ascii="Calibri" w:hAnsi="Calibri"/>
                <w:color w:val="FF0000"/>
              </w:rPr>
              <w:t>I am not sure I understood your point. What does “not use SL HARQ feedback from RAN1 perspective” mean?  SL HARQ feedback is used or not, independently of the perspective, right?</w:t>
            </w:r>
            <w:r>
              <w:rPr>
                <w:rStyle w:val="apple-converted-space"/>
                <w:rFonts w:ascii="Calibri" w:hAnsi="Calibri"/>
                <w:color w:val="FF0000"/>
              </w:rPr>
              <w:t> </w:t>
            </w:r>
          </w:p>
        </w:tc>
      </w:tr>
      <w:tr w:rsidR="006B24EB" w14:paraId="1FD1F5DC"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691E3" w14:textId="77777777" w:rsidR="006B24EB" w:rsidRDefault="006B24EB">
            <w:pPr>
              <w:rPr>
                <w:rFonts w:ascii="Times New Roman" w:hAnsi="Times New Roman" w:cs="Times New Roman"/>
              </w:rPr>
            </w:pPr>
            <w:r>
              <w:rPr>
                <w:rFonts w:ascii="Calibri" w:hAnsi="Calibri"/>
              </w:rPr>
              <w:t>OPPO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CC7767A" w14:textId="77777777" w:rsidR="006B24EB" w:rsidRDefault="006B24EB">
            <w:pPr>
              <w:rPr>
                <w:rFonts w:ascii="Times New Roman" w:hAnsi="Times New Roman" w:cs="Times New Roman"/>
              </w:rPr>
            </w:pPr>
            <w:r>
              <w:rPr>
                <w:rFonts w:ascii="Calibri" w:hAnsi="Calibri"/>
              </w:rPr>
              <w:t>We propose NACK should be reported to gNB to align with existing agreement.</w:t>
            </w:r>
          </w:p>
          <w:p w14:paraId="7B18E4F5" w14:textId="77777777" w:rsidR="006B24EB" w:rsidRDefault="006B24EB">
            <w:pPr>
              <w:rPr>
                <w:rFonts w:ascii="Times New Roman" w:hAnsi="Times New Roman" w:cs="Times New Roman"/>
              </w:rPr>
            </w:pPr>
            <w:r>
              <w:rPr>
                <w:rFonts w:ascii="Calibri" w:hAnsi="Calibri"/>
              </w:rPr>
              <w:t>If SL FB is disabled, TX UE needs to do blind re-transmission to improve the reliability. We have agreed that for DG, the number of retransmission is up to gNB. For that agreement, we did not differentiate whether SL FB is enabled or not. If TX UE report ACK to gNB, gNB cannot determine the number of retransmissions. That is conflict with the agreement.  </w:t>
            </w:r>
          </w:p>
          <w:p w14:paraId="05148584" w14:textId="77777777" w:rsidR="006B24EB" w:rsidRDefault="006B24EB">
            <w:pPr>
              <w:rPr>
                <w:rFonts w:ascii="Times New Roman" w:hAnsi="Times New Roman" w:cs="Times New Roman"/>
              </w:rPr>
            </w:pPr>
            <w:r>
              <w:rPr>
                <w:rFonts w:ascii="Calibri" w:hAnsi="Calibri"/>
                <w:b/>
                <w:bCs/>
                <w:color w:val="FF0000"/>
              </w:rPr>
              <w:t>FL reply:</w:t>
            </w:r>
          </w:p>
          <w:p w14:paraId="7F52CBD3" w14:textId="77777777" w:rsidR="006B24EB" w:rsidRDefault="006B24EB">
            <w:pPr>
              <w:rPr>
                <w:rFonts w:ascii="Times New Roman" w:hAnsi="Times New Roman" w:cs="Times New Roman"/>
              </w:rPr>
            </w:pPr>
            <w:r>
              <w:rPr>
                <w:rFonts w:ascii="Calibri" w:hAnsi="Calibri"/>
                <w:color w:val="FF0000"/>
              </w:rPr>
              <w:t> </w:t>
            </w:r>
          </w:p>
          <w:p w14:paraId="26626AAB" w14:textId="77777777" w:rsidR="006B24EB" w:rsidRDefault="006B24EB">
            <w:pPr>
              <w:rPr>
                <w:rFonts w:ascii="Times New Roman" w:hAnsi="Times New Roman" w:cs="Times New Roman"/>
              </w:rPr>
            </w:pPr>
            <w:r>
              <w:rPr>
                <w:rFonts w:ascii="Calibri" w:hAnsi="Calibri"/>
                <w:color w:val="FF0000"/>
              </w:rPr>
              <w:t>I guess then it would depend on whether the UE needs to do retransmissions or not, right? If so, leaving it up to UE implementation seems the natural choice.</w:t>
            </w:r>
          </w:p>
          <w:p w14:paraId="28A2F644" w14:textId="77777777" w:rsidR="006B24EB" w:rsidRDefault="006B24EB">
            <w:pPr>
              <w:rPr>
                <w:rFonts w:ascii="Times New Roman" w:hAnsi="Times New Roman" w:cs="Times New Roman"/>
              </w:rPr>
            </w:pPr>
            <w:r>
              <w:rPr>
                <w:rFonts w:ascii="Calibri" w:hAnsi="Calibri"/>
                <w:b/>
                <w:bCs/>
                <w:sz w:val="21"/>
                <w:szCs w:val="21"/>
              </w:rPr>
              <w:t> </w:t>
            </w:r>
          </w:p>
          <w:p w14:paraId="0ECE67DF" w14:textId="77777777" w:rsidR="006B24EB" w:rsidRDefault="006B24EB">
            <w:pPr>
              <w:rPr>
                <w:rFonts w:ascii="Times New Roman" w:hAnsi="Times New Roman" w:cs="Times New Roman"/>
              </w:rPr>
            </w:pPr>
            <w:r>
              <w:rPr>
                <w:rFonts w:ascii="Calibri" w:hAnsi="Calibri"/>
                <w:b/>
                <w:bCs/>
                <w:color w:val="000000"/>
                <w:sz w:val="21"/>
                <w:szCs w:val="21"/>
                <w:shd w:val="clear" w:color="auto" w:fill="FFFF00"/>
              </w:rPr>
              <w:t>@Ricardo:</w:t>
            </w:r>
          </w:p>
          <w:p w14:paraId="1F738F56" w14:textId="77777777" w:rsidR="006B24EB" w:rsidRDefault="006B24EB">
            <w:pPr>
              <w:rPr>
                <w:rFonts w:ascii="Times New Roman" w:hAnsi="Times New Roman" w:cs="Times New Roman"/>
              </w:rPr>
            </w:pPr>
            <w:r>
              <w:rPr>
                <w:rFonts w:ascii="Calibri" w:hAnsi="Calibri"/>
                <w:color w:val="000000"/>
                <w:sz w:val="21"/>
                <w:szCs w:val="21"/>
                <w:shd w:val="clear" w:color="auto" w:fill="FFFF00"/>
              </w:rPr>
              <w:t>If whether more resource is needed for retransmission is up to UE implementation, that will conflict with the agreement. According to the agreement, only gNB can determine the number of re-transmissions. One scenario that TX UE can report ACK to gNB is as follows: gNB configure a table between priority and number of retrasnmissions. TX UE can determine whether the maximal number of retransmission is achieved based on the priority of SL TB. If yes, it can report ACK, if not, it reports NACK. In this case, the number of retransmission is still determined by gNB since the table is configured by gNB.</w:t>
            </w:r>
            <w:r>
              <w:rPr>
                <w:rFonts w:ascii="Calibri" w:hAnsi="Calibri"/>
                <w:sz w:val="21"/>
                <w:szCs w:val="21"/>
              </w:rPr>
              <w:t> </w:t>
            </w:r>
          </w:p>
          <w:p w14:paraId="2F4E87FF" w14:textId="77777777" w:rsidR="006B24EB" w:rsidRDefault="006B24EB">
            <w:pPr>
              <w:rPr>
                <w:rFonts w:ascii="Times New Roman" w:hAnsi="Times New Roman" w:cs="Times New Roman"/>
              </w:rPr>
            </w:pPr>
            <w:r>
              <w:rPr>
                <w:rFonts w:ascii="Calibri" w:hAnsi="Calibri"/>
                <w:b/>
                <w:bCs/>
                <w:sz w:val="21"/>
                <w:szCs w:val="21"/>
              </w:rPr>
              <w:t> </w:t>
            </w:r>
          </w:p>
          <w:p w14:paraId="72C40C7D" w14:textId="77777777" w:rsidR="006B24EB" w:rsidRDefault="006B24EB">
            <w:pPr>
              <w:rPr>
                <w:rFonts w:ascii="Times New Roman" w:hAnsi="Times New Roman" w:cs="Times New Roman"/>
              </w:rPr>
            </w:pPr>
            <w:r>
              <w:rPr>
                <w:rFonts w:ascii="Times New Roman" w:hAnsi="Times New Roman" w:cs="Times New Roman"/>
                <w:color w:val="000000"/>
                <w:shd w:val="clear" w:color="auto" w:fill="00FF00"/>
              </w:rPr>
              <w:t>Agreements</w:t>
            </w:r>
            <w:r>
              <w:rPr>
                <w:rFonts w:ascii="Times New Roman" w:hAnsi="Times New Roman" w:cs="Times New Roman"/>
              </w:rPr>
              <w:t>:</w:t>
            </w:r>
          </w:p>
          <w:p w14:paraId="662002DB" w14:textId="77777777" w:rsidR="006B24EB" w:rsidRDefault="006B24EB">
            <w:pPr>
              <w:pStyle w:val="a0"/>
              <w:spacing w:before="0" w:beforeAutospacing="0" w:after="160" w:afterAutospacing="0" w:line="252" w:lineRule="atLeast"/>
              <w:ind w:hanging="360"/>
              <w:rPr>
                <w:rFonts w:ascii="Gulim" w:eastAsia="Gulim" w:hAnsi="Gulim"/>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Arial" w:hAnsi="Arial" w:cs="Arial"/>
              </w:rPr>
              <w:t>For dynamic grant, the number of retransmissions of a TB is up to the gNB.</w:t>
            </w:r>
          </w:p>
          <w:p w14:paraId="751A77AD" w14:textId="77777777" w:rsidR="006B24EB" w:rsidRDefault="006B24EB">
            <w:pPr>
              <w:rPr>
                <w:rFonts w:ascii="Times New Roman" w:eastAsia="MS PGothic" w:hAnsi="Times New Roman" w:cs="Times New Roman" w:hint="eastAsia"/>
              </w:rPr>
            </w:pPr>
            <w:r>
              <w:rPr>
                <w:rFonts w:ascii="Calibri" w:hAnsi="Calibri"/>
                <w:b/>
                <w:bCs/>
                <w:color w:val="FF0000"/>
              </w:rPr>
              <w:t>FL reply:</w:t>
            </w:r>
          </w:p>
          <w:p w14:paraId="136E2C2D" w14:textId="77777777" w:rsidR="006B24EB" w:rsidRDefault="006B24EB">
            <w:pPr>
              <w:rPr>
                <w:rFonts w:ascii="Times New Roman" w:hAnsi="Times New Roman" w:cs="Times New Roman"/>
              </w:rPr>
            </w:pPr>
            <w:r>
              <w:rPr>
                <w:rFonts w:ascii="Calibri" w:hAnsi="Calibri"/>
                <w:color w:val="FF0000"/>
              </w:rPr>
              <w:t> </w:t>
            </w:r>
          </w:p>
          <w:p w14:paraId="04A1656F" w14:textId="77777777" w:rsidR="006B24EB" w:rsidRDefault="006B24EB">
            <w:pPr>
              <w:rPr>
                <w:rFonts w:ascii="Calibri" w:hAnsi="Calibri" w:cs="Calibri"/>
              </w:rPr>
            </w:pPr>
            <w:r>
              <w:rPr>
                <w:rFonts w:ascii="Calibri" w:hAnsi="Calibri"/>
                <w:color w:val="FF0000"/>
              </w:rPr>
              <w:t>I do not see any conflict between the proposal and the agreement. The UE informs the gNB that it would like to perform further retransmissions. The gNB may or may not allocate further resources.</w:t>
            </w:r>
          </w:p>
          <w:p w14:paraId="3EBD17CF" w14:textId="77777777" w:rsidR="006B24EB" w:rsidRDefault="006B24EB">
            <w:pPr>
              <w:rPr>
                <w:rFonts w:ascii="Calibri" w:hAnsi="Calibri"/>
                <w:color w:val="1F497D"/>
                <w:sz w:val="21"/>
                <w:szCs w:val="21"/>
              </w:rPr>
            </w:pPr>
          </w:p>
          <w:p w14:paraId="77473AC9" w14:textId="77777777" w:rsidR="006B24EB" w:rsidRDefault="006B24EB">
            <w:pPr>
              <w:rPr>
                <w:rFonts w:ascii="Calibri" w:hAnsi="Calibri"/>
                <w:color w:val="1F497D"/>
                <w:sz w:val="21"/>
                <w:szCs w:val="21"/>
              </w:rPr>
            </w:pPr>
            <w:r>
              <w:rPr>
                <w:rFonts w:ascii="Calibri" w:hAnsi="Calibri"/>
                <w:color w:val="1F497D"/>
                <w:sz w:val="21"/>
                <w:szCs w:val="21"/>
              </w:rPr>
              <w:t>@ Ricardo:</w:t>
            </w:r>
          </w:p>
          <w:p w14:paraId="02A72204" w14:textId="77777777" w:rsidR="006B24EB" w:rsidRDefault="006B24EB">
            <w:pPr>
              <w:rPr>
                <w:rFonts w:ascii="Calibri" w:hAnsi="Calibri"/>
                <w:color w:val="1F497D"/>
                <w:sz w:val="21"/>
                <w:szCs w:val="21"/>
              </w:rPr>
            </w:pPr>
            <w:r>
              <w:rPr>
                <w:rFonts w:ascii="Calibri" w:hAnsi="Calibri"/>
                <w:color w:val="1F497D"/>
                <w:sz w:val="21"/>
                <w:szCs w:val="21"/>
              </w:rPr>
              <w:t xml:space="preserve">If UE report NACK, gNB can determine whether or not to allocate resource for re-tx. While if UE report ACK, there is no chance for gNB to allocate resource. In that case, the number of re-transmission is determined by the UE not gNB, i.e., UE can terminate the chance for retransmission of the TB. </w:t>
            </w:r>
          </w:p>
          <w:p w14:paraId="60D0A3A1" w14:textId="77777777" w:rsidR="006B24EB" w:rsidRDefault="006B24EB">
            <w:pPr>
              <w:rPr>
                <w:rFonts w:ascii="Calibri" w:hAnsi="Calibri"/>
                <w:color w:val="1F497D"/>
                <w:sz w:val="21"/>
                <w:szCs w:val="21"/>
              </w:rPr>
            </w:pPr>
          </w:p>
          <w:p w14:paraId="3F224FD3" w14:textId="77777777" w:rsidR="006B24EB" w:rsidRDefault="006B24EB">
            <w:pPr>
              <w:rPr>
                <w:rFonts w:ascii="Times New Roman" w:hAnsi="Times New Roman" w:cs="Times New Roman"/>
                <w:sz w:val="24"/>
                <w:szCs w:val="24"/>
              </w:rPr>
            </w:pPr>
            <w:r>
              <w:rPr>
                <w:rFonts w:ascii="Calibri" w:hAnsi="Calibri"/>
                <w:b/>
                <w:bCs/>
                <w:color w:val="FF0000"/>
              </w:rPr>
              <w:t>FL reply:</w:t>
            </w:r>
          </w:p>
          <w:p w14:paraId="225D378F" w14:textId="77777777" w:rsidR="006B24EB" w:rsidRDefault="006B24EB">
            <w:pPr>
              <w:rPr>
                <w:rFonts w:ascii="Times New Roman" w:hAnsi="Times New Roman" w:cs="Times New Roman"/>
              </w:rPr>
            </w:pPr>
            <w:r>
              <w:rPr>
                <w:rFonts w:ascii="Calibri" w:hAnsi="Calibri"/>
                <w:color w:val="FF0000"/>
              </w:rPr>
              <w:t> </w:t>
            </w:r>
          </w:p>
          <w:p w14:paraId="6D291D9F" w14:textId="77777777" w:rsidR="006B24EB" w:rsidRDefault="006B24EB">
            <w:pPr>
              <w:rPr>
                <w:rFonts w:ascii="Calibri" w:hAnsi="Calibri" w:cs="Calibri"/>
                <w:color w:val="FF0000"/>
                <w:sz w:val="21"/>
                <w:szCs w:val="21"/>
              </w:rPr>
            </w:pPr>
            <w:r>
              <w:rPr>
                <w:rFonts w:ascii="Calibri" w:hAnsi="Calibri"/>
                <w:color w:val="FF0000"/>
                <w:sz w:val="21"/>
                <w:szCs w:val="21"/>
              </w:rPr>
              <w:t>The behavior you describe sounds quite strange to me, I would say.</w:t>
            </w:r>
          </w:p>
          <w:p w14:paraId="5D625133" w14:textId="77777777" w:rsidR="006B24EB" w:rsidRDefault="006B24EB">
            <w:pPr>
              <w:rPr>
                <w:rFonts w:ascii="Times New Roman" w:hAnsi="Times New Roman" w:cs="Times New Roman"/>
                <w:sz w:val="24"/>
                <w:szCs w:val="24"/>
              </w:rPr>
            </w:pPr>
            <w:r>
              <w:rPr>
                <w:rFonts w:ascii="Calibri" w:hAnsi="Calibri"/>
                <w:b/>
                <w:bCs/>
                <w:sz w:val="21"/>
                <w:szCs w:val="21"/>
                <w:lang w:val="x-none"/>
              </w:rPr>
              <w:t> </w:t>
            </w:r>
          </w:p>
        </w:tc>
      </w:tr>
      <w:tr w:rsidR="006B24EB" w14:paraId="1825A61C"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1B4B7" w14:textId="77777777" w:rsidR="006B24EB" w:rsidRDefault="006B24EB">
            <w:pPr>
              <w:rPr>
                <w:rFonts w:ascii="Times New Roman" w:hAnsi="Times New Roman" w:cs="Times New Roman"/>
              </w:rPr>
            </w:pPr>
            <w:r>
              <w:rPr>
                <w:rFonts w:ascii="Calibri" w:hAnsi="Calibri"/>
              </w:rPr>
              <w:t>Huawei, HiSilicon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0EA860" w14:textId="77777777" w:rsidR="006B24EB" w:rsidRDefault="006B24EB">
            <w:pPr>
              <w:rPr>
                <w:rFonts w:ascii="Times New Roman" w:hAnsi="Times New Roman" w:cs="Times New Roman"/>
              </w:rPr>
            </w:pPr>
            <w:r>
              <w:rPr>
                <w:rFonts w:ascii="Calibri" w:hAnsi="Calibri"/>
                <w:color w:val="1F497D"/>
              </w:rPr>
              <w:t>For Q6, we think there could be cases for blind retransmissions where UE can report Nack to gNB in case additional resources for blind retransmission are needed. Therefore, we restate our position below the new proposal Q6.</w:t>
            </w:r>
          </w:p>
          <w:p w14:paraId="295E20D3" w14:textId="77777777" w:rsidR="006B24EB" w:rsidRDefault="006B24EB">
            <w:pPr>
              <w:rPr>
                <w:rFonts w:ascii="Times New Roman" w:hAnsi="Times New Roman" w:cs="Times New Roman"/>
              </w:rPr>
            </w:pPr>
            <w:r>
              <w:rPr>
                <w:rFonts w:ascii="Calibri" w:hAnsi="Calibri"/>
                <w:color w:val="1F497D"/>
              </w:rPr>
              <w:t> </w:t>
            </w:r>
          </w:p>
          <w:p w14:paraId="1B1E101A" w14:textId="77777777" w:rsidR="006B24EB" w:rsidRDefault="006B24EB">
            <w:pPr>
              <w:rPr>
                <w:rFonts w:ascii="Times New Roman" w:hAnsi="Times New Roman" w:cs="Times New Roman"/>
              </w:rPr>
            </w:pPr>
            <w:r>
              <w:rPr>
                <w:rFonts w:ascii="Calibri" w:hAnsi="Calibri"/>
                <w:b/>
                <w:bCs/>
                <w:color w:val="FF0000"/>
              </w:rPr>
              <w:t>FL reply:</w:t>
            </w:r>
          </w:p>
          <w:p w14:paraId="6B5C79ED" w14:textId="77777777" w:rsidR="006B24EB" w:rsidRDefault="006B24EB">
            <w:pPr>
              <w:rPr>
                <w:rFonts w:ascii="Times New Roman" w:hAnsi="Times New Roman" w:cs="Times New Roman"/>
              </w:rPr>
            </w:pPr>
            <w:r>
              <w:rPr>
                <w:rFonts w:ascii="Calibri" w:hAnsi="Calibri"/>
                <w:b/>
                <w:bCs/>
                <w:color w:val="FF0000"/>
              </w:rPr>
              <w:t> </w:t>
            </w:r>
          </w:p>
          <w:p w14:paraId="55BE7A0C" w14:textId="77777777" w:rsidR="006B24EB" w:rsidRDefault="006B24EB">
            <w:pPr>
              <w:rPr>
                <w:rFonts w:ascii="Times New Roman" w:hAnsi="Times New Roman" w:cs="Times New Roman"/>
              </w:rPr>
            </w:pPr>
            <w:r>
              <w:rPr>
                <w:rFonts w:ascii="Calibri" w:hAnsi="Calibri"/>
                <w:color w:val="FF0000"/>
              </w:rPr>
              <w:t>I agree with your comments. See also my reply to Nokia.</w:t>
            </w:r>
          </w:p>
          <w:p w14:paraId="075D0F6E" w14:textId="77777777" w:rsidR="006B24EB" w:rsidRDefault="006B24EB">
            <w:pPr>
              <w:rPr>
                <w:rFonts w:ascii="Times New Roman" w:hAnsi="Times New Roman" w:cs="Times New Roman"/>
              </w:rPr>
            </w:pPr>
            <w:r>
              <w:rPr>
                <w:rFonts w:ascii="Calibri" w:hAnsi="Calibri"/>
              </w:rPr>
              <w:t> </w:t>
            </w:r>
          </w:p>
        </w:tc>
      </w:tr>
      <w:tr w:rsidR="006B24EB" w14:paraId="678C961E"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24E05" w14:textId="77777777" w:rsidR="006B24EB" w:rsidRDefault="006B24EB">
            <w:pPr>
              <w:rPr>
                <w:rFonts w:ascii="Times New Roman" w:hAnsi="Times New Roman" w:cs="Times New Roman"/>
              </w:rPr>
            </w:pPr>
            <w:r>
              <w:rPr>
                <w:rFonts w:ascii="Calibri" w:hAnsi="Calibri"/>
              </w:rPr>
              <w:t>Nokia, NSB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580B75" w14:textId="77777777" w:rsidR="006B24EB" w:rsidRDefault="006B24EB">
            <w:pPr>
              <w:rPr>
                <w:rFonts w:ascii="Times New Roman" w:hAnsi="Times New Roman" w:cs="Times New Roman"/>
              </w:rPr>
            </w:pPr>
            <w:r>
              <w:rPr>
                <w:rFonts w:ascii="Calibri" w:hAnsi="Calibri"/>
                <w:lang w:val="en-GB"/>
              </w:rPr>
              <w:t>We are fine with all the proposals except the one for Q6, “The TX UE reports ACK in case that the SL transmission does not use SL HARQ feedback“, where we have the same view as Huawei, HiSi.</w:t>
            </w:r>
            <w:r>
              <w:rPr>
                <w:rStyle w:val="apple-converted-space"/>
                <w:rFonts w:ascii="Calibri" w:hAnsi="Calibri"/>
                <w:lang w:val="en-GB"/>
              </w:rPr>
              <w:t> </w:t>
            </w:r>
          </w:p>
          <w:p w14:paraId="79BC41DF" w14:textId="77777777" w:rsidR="006B24EB" w:rsidRDefault="006B24EB">
            <w:pPr>
              <w:rPr>
                <w:rFonts w:ascii="Times New Roman" w:hAnsi="Times New Roman" w:cs="Times New Roman"/>
              </w:rPr>
            </w:pPr>
            <w:r>
              <w:rPr>
                <w:rFonts w:ascii="Calibri" w:hAnsi="Calibri"/>
                <w:lang w:val="en-GB"/>
              </w:rPr>
              <w:t> </w:t>
            </w:r>
          </w:p>
          <w:p w14:paraId="4637F4F5" w14:textId="77777777" w:rsidR="006B24EB" w:rsidRDefault="006B24EB">
            <w:pPr>
              <w:rPr>
                <w:rFonts w:ascii="Times New Roman" w:hAnsi="Times New Roman" w:cs="Times New Roman"/>
              </w:rPr>
            </w:pPr>
            <w:r>
              <w:rPr>
                <w:rFonts w:ascii="Calibri" w:hAnsi="Calibri"/>
                <w:lang w:val="en-GB"/>
              </w:rPr>
              <w:t>I would like to hear the rationale behind this proposal from the proponents. If a UE wants to achieve high reliability for a TB and HARQ feedback is not possible, then in my understanding the situation is the following:</w:t>
            </w:r>
          </w:p>
          <w:p w14:paraId="6BBD3909" w14:textId="77777777" w:rsidR="006B24EB" w:rsidRDefault="006B24EB">
            <w:pPr>
              <w:rPr>
                <w:rFonts w:ascii="Times New Roman" w:hAnsi="Times New Roman" w:cs="Times New Roman"/>
              </w:rPr>
            </w:pPr>
            <w:r>
              <w:rPr>
                <w:rFonts w:ascii="Calibri" w:hAnsi="Calibri"/>
                <w:lang w:val="en-GB"/>
              </w:rPr>
              <w:t> </w:t>
            </w:r>
          </w:p>
          <w:p w14:paraId="55420CE6" w14:textId="77777777" w:rsidR="006B24EB" w:rsidRDefault="006B24EB">
            <w:pPr>
              <w:rPr>
                <w:rFonts w:ascii="Times New Roman" w:hAnsi="Times New Roman" w:cs="Times New Roman"/>
              </w:rPr>
            </w:pPr>
            <w:r>
              <w:rPr>
                <w:rFonts w:ascii="Calibri" w:hAnsi="Calibri"/>
                <w:lang w:val="en-GB"/>
              </w:rPr>
              <w:t>In mode 2, a UE can decide to use up to 32 blind transmissions for the TB (if the (pre)configured sl-MaxTxTransNumPSSCH for the current CBR allows that).</w:t>
            </w:r>
          </w:p>
          <w:p w14:paraId="61F5AC7E" w14:textId="77777777" w:rsidR="006B24EB" w:rsidRDefault="006B24EB">
            <w:pPr>
              <w:rPr>
                <w:rFonts w:ascii="Times New Roman" w:hAnsi="Times New Roman" w:cs="Times New Roman"/>
              </w:rPr>
            </w:pPr>
            <w:r>
              <w:rPr>
                <w:rFonts w:ascii="Calibri" w:hAnsi="Calibri"/>
                <w:lang w:val="en-GB"/>
              </w:rPr>
              <w:t> </w:t>
            </w:r>
          </w:p>
          <w:p w14:paraId="28E74EEB" w14:textId="77777777" w:rsidR="006B24EB" w:rsidRDefault="006B24EB">
            <w:pPr>
              <w:rPr>
                <w:rFonts w:ascii="Times New Roman" w:hAnsi="Times New Roman" w:cs="Times New Roman"/>
              </w:rPr>
            </w:pPr>
            <w:r>
              <w:rPr>
                <w:rFonts w:ascii="Calibri" w:hAnsi="Calibri"/>
                <w:lang w:val="en-GB"/>
              </w:rPr>
              <w:t>In mode 1, if this proposal is agreed, then either</w:t>
            </w:r>
          </w:p>
          <w:p w14:paraId="4CCB4B7C" w14:textId="77777777" w:rsidR="006B24EB" w:rsidRDefault="006B24EB">
            <w:pPr>
              <w:spacing w:after="150" w:line="252" w:lineRule="atLeast"/>
              <w:ind w:right="150" w:hanging="360"/>
              <w:rPr>
                <w:rFonts w:ascii="Times New Roman" w:hAnsi="Times New Roman" w:cs="Times New Roman"/>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Calibri" w:hAnsi="Calibri"/>
                <w:lang w:val="en-GB"/>
              </w:rPr>
              <w:t>Case 1: the UE can use at most 3 blind transmissions for the TB; or</w:t>
            </w:r>
          </w:p>
          <w:p w14:paraId="2E1BC424" w14:textId="77777777" w:rsidR="006B24EB" w:rsidRDefault="006B24EB">
            <w:pPr>
              <w:spacing w:after="150" w:line="252" w:lineRule="atLeast"/>
              <w:ind w:right="150" w:hanging="360"/>
              <w:rPr>
                <w:rFonts w:ascii="Times New Roman" w:hAnsi="Times New Roman" w:cs="Times New Roman"/>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Calibri" w:hAnsi="Calibri"/>
                <w:lang w:val="en-GB"/>
              </w:rPr>
              <w:t>Case 2: The UE requests more resources for additional blind retransmissions using SR/BSR.</w:t>
            </w:r>
          </w:p>
          <w:p w14:paraId="7A4068B9" w14:textId="77777777" w:rsidR="006B24EB" w:rsidRDefault="006B24EB">
            <w:pPr>
              <w:rPr>
                <w:rFonts w:ascii="Times New Roman" w:hAnsi="Times New Roman" w:cs="Times New Roman"/>
              </w:rPr>
            </w:pPr>
            <w:r>
              <w:rPr>
                <w:rFonts w:ascii="Calibri" w:hAnsi="Calibri"/>
                <w:lang w:val="en-GB"/>
              </w:rPr>
              <w:t>For case 1, mode 1 has worse reliability than mode 2, which goes against the concept of mode 1.</w:t>
            </w:r>
          </w:p>
          <w:p w14:paraId="13FE84A2" w14:textId="77777777" w:rsidR="006B24EB" w:rsidRDefault="006B24EB">
            <w:pPr>
              <w:rPr>
                <w:rFonts w:ascii="Times New Roman" w:hAnsi="Times New Roman" w:cs="Times New Roman"/>
              </w:rPr>
            </w:pPr>
            <w:r>
              <w:rPr>
                <w:rFonts w:ascii="Calibri" w:hAnsi="Calibri"/>
                <w:lang w:val="en-GB"/>
              </w:rPr>
              <w:t>For case 2, there are multiple problems:</w:t>
            </w:r>
          </w:p>
          <w:p w14:paraId="26330568" w14:textId="77777777" w:rsidR="006B24EB" w:rsidRDefault="006B24EB">
            <w:pPr>
              <w:spacing w:after="150" w:line="252" w:lineRule="atLeast"/>
              <w:ind w:left="-360" w:right="150" w:hanging="360"/>
              <w:rPr>
                <w:rFonts w:ascii="Times New Roman" w:hAnsi="Times New Roman" w:cs="Times New Roman"/>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Calibri" w:hAnsi="Calibri"/>
                <w:lang w:val="en-GB"/>
              </w:rPr>
              <w:t>Violates the agreement that “SR/BSR report to gNB for the purpose of requesting resources for HARQ retransmission is not supported”.</w:t>
            </w:r>
          </w:p>
          <w:p w14:paraId="0E63365C" w14:textId="77777777" w:rsidR="006B24EB" w:rsidRDefault="006B24EB">
            <w:pPr>
              <w:spacing w:after="150" w:line="252" w:lineRule="atLeast"/>
              <w:ind w:left="-360" w:right="150" w:hanging="360"/>
              <w:rPr>
                <w:rFonts w:ascii="Times New Roman" w:hAnsi="Times New Roman" w:cs="Times New Roman"/>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Calibri" w:hAnsi="Calibri"/>
                <w:lang w:val="en-GB"/>
              </w:rPr>
              <w:t>results in higher overhead and longer latency than requesting additional resources using HARQ NACK feedback to the gNB.</w:t>
            </w:r>
          </w:p>
          <w:p w14:paraId="0F291728" w14:textId="77777777" w:rsidR="006B24EB" w:rsidRDefault="006B24EB">
            <w:pPr>
              <w:spacing w:after="150" w:line="252" w:lineRule="atLeast"/>
              <w:ind w:left="-360" w:right="150" w:hanging="360"/>
              <w:rPr>
                <w:rFonts w:ascii="Times New Roman" w:hAnsi="Times New Roman" w:cs="Times New Roman"/>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Calibri" w:hAnsi="Calibri"/>
                <w:lang w:val="en-GB"/>
              </w:rPr>
              <w:t>gNB does not know if the request is for retransmission or for a new transmission, hence cannot control the number of retransmissions of the TB, hence violating the agreement “For dynamic grant, the number of retransmissions of a TB is up to the gNB”.</w:t>
            </w:r>
          </w:p>
          <w:p w14:paraId="366A01B2" w14:textId="77777777" w:rsidR="006B24EB" w:rsidRDefault="006B24EB">
            <w:pPr>
              <w:rPr>
                <w:rFonts w:ascii="Times New Roman" w:hAnsi="Times New Roman" w:cs="Times New Roman"/>
              </w:rPr>
            </w:pPr>
            <w:r>
              <w:rPr>
                <w:rFonts w:ascii="Calibri" w:hAnsi="Calibri"/>
                <w:b/>
                <w:bCs/>
                <w:color w:val="FF0000"/>
              </w:rPr>
              <w:t> </w:t>
            </w:r>
          </w:p>
          <w:p w14:paraId="1BCFCAEE" w14:textId="77777777" w:rsidR="006B24EB" w:rsidRDefault="006B24EB">
            <w:pPr>
              <w:rPr>
                <w:rFonts w:ascii="Times New Roman" w:hAnsi="Times New Roman" w:cs="Times New Roman"/>
              </w:rPr>
            </w:pPr>
            <w:r>
              <w:rPr>
                <w:rFonts w:ascii="Calibri" w:hAnsi="Calibri"/>
                <w:b/>
                <w:bCs/>
                <w:color w:val="FF0000"/>
              </w:rPr>
              <w:t>FL reply:</w:t>
            </w:r>
          </w:p>
          <w:p w14:paraId="0DA8C7F5" w14:textId="77777777" w:rsidR="006B24EB" w:rsidRDefault="006B24EB">
            <w:pPr>
              <w:rPr>
                <w:rFonts w:ascii="Times New Roman" w:hAnsi="Times New Roman" w:cs="Times New Roman"/>
              </w:rPr>
            </w:pPr>
            <w:r>
              <w:rPr>
                <w:rFonts w:ascii="Calibri" w:hAnsi="Calibri"/>
                <w:color w:val="FF0000"/>
                <w:lang w:val="en-GB"/>
              </w:rPr>
              <w:t> </w:t>
            </w:r>
          </w:p>
          <w:p w14:paraId="1F0BBE06" w14:textId="77777777" w:rsidR="006B24EB" w:rsidRDefault="006B24EB">
            <w:pPr>
              <w:rPr>
                <w:rFonts w:ascii="Times New Roman" w:hAnsi="Times New Roman" w:cs="Times New Roman"/>
              </w:rPr>
            </w:pPr>
            <w:r>
              <w:rPr>
                <w:rFonts w:ascii="Calibri" w:hAnsi="Calibri"/>
                <w:color w:val="FF0000"/>
                <w:lang w:val="en-GB"/>
              </w:rPr>
              <w:t>I agree with your reasoning but I do not think that case 2 is not possible in practice. Once a TB is generated, the MAC loses control of the data and it cannot generate a new SR. In my view, the only way how a UE could do more than 3 blind transmissions per TB is if the gNB would blindly provide multiple grants for that TB. In other words, whether to perform more than 3 transmissions or not and, if so, how many, would be controlled by the gNB and not the UE.</w:t>
            </w:r>
          </w:p>
          <w:p w14:paraId="2085B29D" w14:textId="77777777" w:rsidR="006B24EB" w:rsidRDefault="006B24EB">
            <w:pPr>
              <w:rPr>
                <w:rFonts w:ascii="Times New Roman" w:hAnsi="Times New Roman" w:cs="Times New Roman"/>
              </w:rPr>
            </w:pPr>
            <w:r>
              <w:rPr>
                <w:rFonts w:ascii="Calibri" w:hAnsi="Calibri"/>
                <w:lang w:val="en-GB"/>
              </w:rPr>
              <w:t> </w:t>
            </w:r>
          </w:p>
          <w:p w14:paraId="442200FC" w14:textId="77777777" w:rsidR="006B24EB" w:rsidRDefault="006B24EB">
            <w:pPr>
              <w:spacing w:after="150"/>
              <w:ind w:right="150"/>
              <w:rPr>
                <w:rFonts w:ascii="Times New Roman" w:hAnsi="Times New Roman" w:cs="Times New Roman"/>
              </w:rPr>
            </w:pPr>
            <w:r>
              <w:rPr>
                <w:rFonts w:ascii="Calibri" w:hAnsi="Calibri"/>
                <w:color w:val="FF0000"/>
                <w:lang w:val="en-GB"/>
              </w:rPr>
              <w:t>Given that the situation was quite even and that the arguments we have heard are solid, let’s see if leaving the behaviour up to UE implementation is acceptable to everyone.</w:t>
            </w:r>
          </w:p>
        </w:tc>
      </w:tr>
      <w:tr w:rsidR="006B24EB" w14:paraId="25C51275"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7DD2F" w14:textId="77777777" w:rsidR="006B24EB" w:rsidRDefault="006B24EB">
            <w:pPr>
              <w:rPr>
                <w:rFonts w:ascii="Times New Roman" w:hAnsi="Times New Roman" w:cs="Times New Roman"/>
              </w:rPr>
            </w:pPr>
            <w:r>
              <w:rPr>
                <w:rFonts w:ascii="Calibri" w:hAnsi="Calibri"/>
              </w:rPr>
              <w:t>Futurewei</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69D1737" w14:textId="77777777" w:rsidR="006B24EB" w:rsidRDefault="006B24EB">
            <w:pPr>
              <w:rPr>
                <w:rFonts w:ascii="Times New Roman" w:hAnsi="Times New Roman" w:cs="Times New Roman"/>
              </w:rPr>
            </w:pPr>
            <w:r>
              <w:rPr>
                <w:rFonts w:ascii="Calibri" w:hAnsi="Calibri"/>
              </w:rPr>
              <w:t>We would also like to hear more about the motivation for sending ACK. Generally speaking, we expect RAN2 to significantly progress the related work and that RAN1 could benefit in waiting.</w:t>
            </w:r>
          </w:p>
          <w:p w14:paraId="539042DD" w14:textId="77777777" w:rsidR="006B24EB" w:rsidRDefault="006B24EB">
            <w:pPr>
              <w:rPr>
                <w:rFonts w:ascii="Times New Roman" w:hAnsi="Times New Roman" w:cs="Times New Roman"/>
              </w:rPr>
            </w:pPr>
            <w:r>
              <w:rPr>
                <w:rFonts w:ascii="Calibri" w:hAnsi="Calibri"/>
              </w:rPr>
              <w:t> </w:t>
            </w:r>
          </w:p>
          <w:p w14:paraId="606206BA" w14:textId="77777777" w:rsidR="006B24EB" w:rsidRDefault="006B24EB">
            <w:pPr>
              <w:rPr>
                <w:rFonts w:ascii="Times New Roman" w:hAnsi="Times New Roman" w:cs="Times New Roman"/>
              </w:rPr>
            </w:pPr>
            <w:r>
              <w:rPr>
                <w:rFonts w:ascii="Calibri" w:hAnsi="Calibri"/>
                <w:b/>
                <w:bCs/>
                <w:color w:val="FF0000"/>
              </w:rPr>
              <w:t>FL reply:</w:t>
            </w:r>
          </w:p>
          <w:p w14:paraId="2BA903BC" w14:textId="77777777" w:rsidR="006B24EB" w:rsidRDefault="006B24EB">
            <w:pPr>
              <w:rPr>
                <w:rFonts w:ascii="Times New Roman" w:hAnsi="Times New Roman" w:cs="Times New Roman"/>
              </w:rPr>
            </w:pPr>
            <w:r>
              <w:rPr>
                <w:rFonts w:ascii="Calibri" w:hAnsi="Calibri"/>
                <w:color w:val="FF0000"/>
                <w:lang w:val="en-GB"/>
              </w:rPr>
              <w:t> </w:t>
            </w:r>
          </w:p>
          <w:p w14:paraId="0E0107EF" w14:textId="77777777" w:rsidR="006B24EB" w:rsidRDefault="006B24EB">
            <w:pPr>
              <w:rPr>
                <w:rFonts w:ascii="Calibri" w:hAnsi="Calibri" w:cs="Calibri"/>
              </w:rPr>
            </w:pPr>
            <w:r>
              <w:rPr>
                <w:rFonts w:ascii="Calibri" w:hAnsi="Calibri"/>
                <w:color w:val="FF0000"/>
              </w:rPr>
              <w:t>See my reply to other companies. Given that the specification is entirely in RAN1 domain and that it should not conflict with any decision taken by RAN2, I would suggest closing this issue now, if possible. We are already in maintenance phase.</w:t>
            </w:r>
          </w:p>
          <w:p w14:paraId="589A1DFC" w14:textId="77777777" w:rsidR="006B24EB" w:rsidRDefault="006B24EB">
            <w:pPr>
              <w:rPr>
                <w:rFonts w:ascii="Times New Roman" w:hAnsi="Times New Roman" w:cs="Times New Roman"/>
                <w:sz w:val="24"/>
                <w:szCs w:val="24"/>
              </w:rPr>
            </w:pPr>
          </w:p>
          <w:p w14:paraId="2B7D354C" w14:textId="77777777" w:rsidR="006B24EB" w:rsidRDefault="006B24EB">
            <w:pPr>
              <w:rPr>
                <w:rFonts w:ascii="Calibri" w:hAnsi="Calibri" w:cs="Calibri"/>
              </w:rPr>
            </w:pPr>
            <w:r>
              <w:rPr>
                <w:rFonts w:ascii="Calibri" w:hAnsi="Calibri"/>
              </w:rPr>
              <w:t>We are still not quite sure for Q6: the way we understand the proposals now is that it is up to the UE to choose what to report. This is feedback that is  at best useless to the gNB since it cannot know what it means, or worse can be confusing if misinterpreted. One possible solution could be to not leave it to the UE implementation and specify when to send ACK/NACK, with ACK meaning more resources needed. However, the cleaner solution to request more resources would be through BRS/SR since technically, this is not a request for HARQ resources.</w:t>
            </w:r>
          </w:p>
          <w:p w14:paraId="7D727BE6" w14:textId="77777777" w:rsidR="006B24EB" w:rsidRDefault="006B24EB">
            <w:pPr>
              <w:rPr>
                <w:rFonts w:ascii="Calibri" w:hAnsi="Calibri"/>
              </w:rPr>
            </w:pPr>
            <w:r>
              <w:rPr>
                <w:rFonts w:ascii="Calibri" w:hAnsi="Calibri"/>
              </w:rPr>
              <w:t xml:space="preserve">The better way for Q6 would be to make sure that both the UE and gNB know whether SL operates with/without HARQ feedback. Then, the gNB would not allocate PUCCH resource if HARQ feedback is disabled on the SL. </w:t>
            </w:r>
          </w:p>
          <w:p w14:paraId="2C0817D9" w14:textId="77777777" w:rsidR="006B24EB" w:rsidRDefault="006B24EB">
            <w:pPr>
              <w:rPr>
                <w:rFonts w:ascii="Calibri" w:hAnsi="Calibri"/>
              </w:rPr>
            </w:pPr>
          </w:p>
          <w:p w14:paraId="4D87ABE2" w14:textId="77777777" w:rsidR="006B24EB" w:rsidRDefault="006B24EB">
            <w:pPr>
              <w:rPr>
                <w:rFonts w:ascii="Times New Roman" w:hAnsi="Times New Roman" w:cs="Times New Roman"/>
                <w:sz w:val="24"/>
                <w:szCs w:val="24"/>
              </w:rPr>
            </w:pPr>
            <w:r>
              <w:rPr>
                <w:rFonts w:ascii="Calibri" w:hAnsi="Calibri"/>
                <w:b/>
                <w:bCs/>
                <w:color w:val="FF0000"/>
              </w:rPr>
              <w:t>FL reply:</w:t>
            </w:r>
          </w:p>
          <w:p w14:paraId="68D9E4F3" w14:textId="77777777" w:rsidR="006B24EB" w:rsidRDefault="006B24EB">
            <w:pPr>
              <w:rPr>
                <w:rFonts w:ascii="Times New Roman" w:hAnsi="Times New Roman" w:cs="Times New Roman"/>
              </w:rPr>
            </w:pPr>
            <w:r>
              <w:rPr>
                <w:rFonts w:ascii="Calibri" w:hAnsi="Calibri"/>
                <w:color w:val="FF0000"/>
                <w:lang w:val="en-GB"/>
              </w:rPr>
              <w:t> </w:t>
            </w:r>
          </w:p>
          <w:p w14:paraId="0A31350B" w14:textId="77777777" w:rsidR="006B24EB" w:rsidRDefault="006B24EB">
            <w:pPr>
              <w:rPr>
                <w:rFonts w:ascii="Calibri" w:hAnsi="Calibri" w:cs="Calibri"/>
                <w:color w:val="FF0000"/>
              </w:rPr>
            </w:pPr>
            <w:r>
              <w:rPr>
                <w:rFonts w:ascii="Calibri" w:hAnsi="Calibri"/>
                <w:color w:val="FF0000"/>
              </w:rPr>
              <w:t xml:space="preserve">As I explained to Nokia, it is not possible to request further resources using a SR/BSR. See my explanation there. My view is that these are resources for HARQ retransmissions. They may be blind instead of triggered by feedback but they are still HARQ retransmissions. </w:t>
            </w:r>
          </w:p>
          <w:p w14:paraId="1CCC96A7" w14:textId="77777777" w:rsidR="006B24EB" w:rsidRDefault="006B24EB">
            <w:pPr>
              <w:rPr>
                <w:rFonts w:ascii="Calibri" w:hAnsi="Calibri"/>
                <w:color w:val="FF0000"/>
              </w:rPr>
            </w:pPr>
            <w:r>
              <w:rPr>
                <w:rFonts w:ascii="Calibri" w:hAnsi="Calibri"/>
                <w:color w:val="FF0000"/>
              </w:rPr>
              <w:t>My understanding is that a reasonable UE implementation would send NACK when it wants more resources and ACK otherwise. We can potentially capture a note in the minutes stating that the expectation is that the UE uses NACK to request more resources for (blind) transmission of the same TB and ACK otherwise. Would that work for you?</w:t>
            </w:r>
          </w:p>
          <w:p w14:paraId="6FBC4C39" w14:textId="77777777" w:rsidR="006B24EB" w:rsidRDefault="006B24EB">
            <w:pPr>
              <w:rPr>
                <w:rFonts w:ascii="Calibri" w:hAnsi="Calibri"/>
              </w:rPr>
            </w:pPr>
            <w:r>
              <w:rPr>
                <w:rFonts w:ascii="Calibri" w:hAnsi="Calibri"/>
                <w:color w:val="FF0000"/>
              </w:rPr>
              <w:t xml:space="preserve">I fully agree with your last comment but RAN1#99 could not make a decision about this. I guess we need to live with the consequence and specify a solution. </w:t>
            </w:r>
          </w:p>
        </w:tc>
      </w:tr>
      <w:tr w:rsidR="006B24EB" w14:paraId="7A105DD1"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1CDC6" w14:textId="77777777" w:rsidR="006B24EB" w:rsidRDefault="006B24EB">
            <w:pPr>
              <w:rPr>
                <w:rFonts w:ascii="Times New Roman" w:hAnsi="Times New Roman" w:cs="Times New Roman"/>
                <w:sz w:val="24"/>
                <w:szCs w:val="24"/>
              </w:rPr>
            </w:pPr>
            <w:r>
              <w:rPr>
                <w:rFonts w:ascii="Calibri" w:hAnsi="Calibri"/>
              </w:rPr>
              <w:t>DOCOMO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1FF269" w14:textId="77777777" w:rsidR="006B24EB" w:rsidRDefault="006B24EB">
            <w:pPr>
              <w:rPr>
                <w:rFonts w:ascii="Times New Roman" w:hAnsi="Times New Roman" w:cs="Times New Roman"/>
              </w:rPr>
            </w:pPr>
            <w:r>
              <w:rPr>
                <w:rFonts w:ascii="Calibri" w:hAnsi="Calibri"/>
              </w:rPr>
              <w:t>We understand the motivation to send NACK, i.e. for blind retransmission. Our first input was to avoid ‘no HARQ feedback’. In that sense, NACK as well as ACK is OK for us. Currently, we feel ACK or NACK can be decided by TX-UE based on whether additional resource is necessary for blind retransmission or not.</w:t>
            </w:r>
          </w:p>
          <w:p w14:paraId="6FA35293" w14:textId="77777777" w:rsidR="006B24EB" w:rsidRDefault="006B24EB">
            <w:pPr>
              <w:rPr>
                <w:rFonts w:ascii="Times New Roman" w:hAnsi="Times New Roman" w:cs="Times New Roman"/>
              </w:rPr>
            </w:pPr>
            <w:r>
              <w:rPr>
                <w:rFonts w:ascii="Calibri" w:hAnsi="Calibri"/>
                <w:b/>
                <w:bCs/>
                <w:color w:val="FF0000"/>
              </w:rPr>
              <w:t> </w:t>
            </w:r>
          </w:p>
          <w:p w14:paraId="67A3C697" w14:textId="77777777" w:rsidR="006B24EB" w:rsidRDefault="006B24EB">
            <w:pPr>
              <w:rPr>
                <w:rFonts w:ascii="Times New Roman" w:hAnsi="Times New Roman" w:cs="Times New Roman"/>
              </w:rPr>
            </w:pPr>
            <w:r>
              <w:rPr>
                <w:rFonts w:ascii="Calibri" w:hAnsi="Calibri"/>
                <w:b/>
                <w:bCs/>
                <w:color w:val="FF0000"/>
              </w:rPr>
              <w:t>FL reply:</w:t>
            </w:r>
          </w:p>
          <w:p w14:paraId="11066BFF" w14:textId="77777777" w:rsidR="006B24EB" w:rsidRDefault="006B24EB">
            <w:pPr>
              <w:rPr>
                <w:rFonts w:ascii="Times New Roman" w:hAnsi="Times New Roman" w:cs="Times New Roman"/>
              </w:rPr>
            </w:pPr>
            <w:r>
              <w:rPr>
                <w:rFonts w:ascii="Calibri" w:hAnsi="Calibri"/>
                <w:b/>
                <w:bCs/>
                <w:color w:val="FF0000"/>
              </w:rPr>
              <w:t> </w:t>
            </w:r>
          </w:p>
          <w:p w14:paraId="3E69C0A5" w14:textId="77777777" w:rsidR="006B24EB" w:rsidRDefault="006B24EB">
            <w:pPr>
              <w:spacing w:after="150"/>
              <w:ind w:right="150"/>
              <w:rPr>
                <w:rFonts w:ascii="Times New Roman" w:hAnsi="Times New Roman" w:cs="Times New Roman"/>
              </w:rPr>
            </w:pPr>
            <w:r>
              <w:rPr>
                <w:rFonts w:ascii="Calibri" w:hAnsi="Calibri"/>
                <w:color w:val="FF0000"/>
                <w:lang w:val="en-GB"/>
              </w:rPr>
              <w:t>Thanks for your flexibility</w:t>
            </w:r>
          </w:p>
        </w:tc>
      </w:tr>
      <w:tr w:rsidR="006B24EB" w14:paraId="1D564896"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C1FFF" w14:textId="77777777" w:rsidR="006B24EB" w:rsidRDefault="006B24EB">
            <w:pPr>
              <w:rPr>
                <w:rFonts w:ascii="Times New Roman" w:hAnsi="Times New Roman" w:cs="Times New Roman"/>
              </w:rPr>
            </w:pPr>
            <w:r>
              <w:rPr>
                <w:rFonts w:ascii="Calibri" w:hAnsi="Calibri"/>
              </w:rPr>
              <w:t>Lenovo/MoTM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946A41" w14:textId="77777777" w:rsidR="006B24EB" w:rsidRDefault="006B24EB">
            <w:pPr>
              <w:rPr>
                <w:rFonts w:ascii="Times New Roman" w:hAnsi="Times New Roman" w:cs="Times New Roman"/>
              </w:rPr>
            </w:pPr>
            <w:r>
              <w:rPr>
                <w:rFonts w:ascii="Calibri" w:hAnsi="Calibri"/>
              </w:rPr>
              <w:t>UE reports NACK to request more retransmission resource, ACK if no more retransmission required</w:t>
            </w:r>
          </w:p>
          <w:p w14:paraId="21BD19AE" w14:textId="77777777" w:rsidR="006B24EB" w:rsidRDefault="006B24EB">
            <w:pPr>
              <w:rPr>
                <w:rFonts w:ascii="Times New Roman" w:hAnsi="Times New Roman" w:cs="Times New Roman"/>
              </w:rPr>
            </w:pPr>
            <w:r>
              <w:rPr>
                <w:rFonts w:ascii="Calibri" w:hAnsi="Calibri"/>
              </w:rPr>
              <w:t> </w:t>
            </w:r>
          </w:p>
          <w:p w14:paraId="6E8EE86C" w14:textId="77777777" w:rsidR="006B24EB" w:rsidRDefault="006B24EB">
            <w:pPr>
              <w:rPr>
                <w:rFonts w:ascii="Times New Roman" w:hAnsi="Times New Roman" w:cs="Times New Roman"/>
              </w:rPr>
            </w:pPr>
            <w:r>
              <w:rPr>
                <w:rFonts w:ascii="Calibri" w:hAnsi="Calibri"/>
                <w:b/>
                <w:bCs/>
                <w:color w:val="FF0000"/>
              </w:rPr>
              <w:t>FL reply:</w:t>
            </w:r>
          </w:p>
          <w:p w14:paraId="7B776A9F" w14:textId="77777777" w:rsidR="006B24EB" w:rsidRDefault="006B24EB">
            <w:pPr>
              <w:rPr>
                <w:rFonts w:ascii="Times New Roman" w:hAnsi="Times New Roman" w:cs="Times New Roman"/>
              </w:rPr>
            </w:pPr>
            <w:r>
              <w:rPr>
                <w:rFonts w:ascii="Calibri" w:hAnsi="Calibri"/>
                <w:color w:val="FF0000"/>
                <w:lang w:val="en-GB"/>
              </w:rPr>
              <w:t> </w:t>
            </w:r>
          </w:p>
          <w:p w14:paraId="2F424B7A" w14:textId="77777777" w:rsidR="006B24EB" w:rsidRDefault="006B24EB">
            <w:pPr>
              <w:rPr>
                <w:rFonts w:ascii="Times New Roman" w:hAnsi="Times New Roman" w:cs="Times New Roman"/>
              </w:rPr>
            </w:pPr>
            <w:r>
              <w:rPr>
                <w:rFonts w:ascii="Calibri" w:hAnsi="Calibri"/>
                <w:color w:val="FF0000"/>
              </w:rPr>
              <w:t>See my reply to other companies and the updated proposal.</w:t>
            </w:r>
          </w:p>
        </w:tc>
      </w:tr>
      <w:tr w:rsidR="006B24EB" w14:paraId="05E121C4"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B5DFD" w14:textId="77777777" w:rsidR="006B24EB" w:rsidRDefault="006B24EB">
            <w:pPr>
              <w:rPr>
                <w:rFonts w:ascii="Times New Roman" w:hAnsi="Times New Roman" w:cs="Times New Roman"/>
              </w:rPr>
            </w:pPr>
            <w:r>
              <w:rPr>
                <w:rFonts w:ascii="Calibri" w:hAnsi="Calibri"/>
              </w:rPr>
              <w:t>LGE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C16EEE" w14:textId="77777777" w:rsidR="006B24EB" w:rsidRDefault="006B24EB">
            <w:pPr>
              <w:rPr>
                <w:rFonts w:ascii="Times New Roman" w:hAnsi="Times New Roman" w:cs="Times New Roman"/>
              </w:rPr>
            </w:pPr>
            <w:r>
              <w:rPr>
                <w:rFonts w:ascii="Malgun Gothic" w:eastAsia="Malgun Gothic" w:hAnsi="Malgun Gothic" w:hint="eastAsia"/>
                <w:color w:val="1F497D"/>
                <w:sz w:val="20"/>
                <w:szCs w:val="20"/>
              </w:rPr>
              <w:t>On Q6, we think that it would be beneficial if a UE is allowed to report NACK or ACK according to whether additional resources are needed for blind retransmission. So, we propose to update the proposal as follows:</w:t>
            </w:r>
          </w:p>
          <w:p w14:paraId="2BC966E5" w14:textId="77777777" w:rsidR="006B24EB" w:rsidRDefault="006B24EB">
            <w:pPr>
              <w:rPr>
                <w:rFonts w:ascii="Times New Roman" w:hAnsi="Times New Roman" w:cs="Times New Roman"/>
              </w:rPr>
            </w:pPr>
            <w:r>
              <w:rPr>
                <w:rFonts w:ascii="Malgun Gothic" w:eastAsia="Malgun Gothic" w:hAnsi="Malgun Gothic" w:hint="eastAsia"/>
                <w:color w:val="1F497D"/>
                <w:sz w:val="20"/>
                <w:szCs w:val="20"/>
              </w:rPr>
              <w:t> </w:t>
            </w:r>
          </w:p>
          <w:p w14:paraId="687D2F23" w14:textId="77777777" w:rsidR="006B24EB" w:rsidRDefault="006B24EB">
            <w:pPr>
              <w:rPr>
                <w:rFonts w:ascii="Times New Roman" w:hAnsi="Times New Roman" w:cs="Times New Roman"/>
              </w:rPr>
            </w:pPr>
            <w:r>
              <w:rPr>
                <w:rFonts w:ascii="Calibri" w:hAnsi="Calibri"/>
                <w:b/>
                <w:bCs/>
                <w:sz w:val="20"/>
                <w:szCs w:val="20"/>
              </w:rPr>
              <w:t>Proposal:</w:t>
            </w:r>
            <w:r>
              <w:rPr>
                <w:rStyle w:val="apple-converted-space"/>
                <w:rFonts w:ascii="Calibri" w:hAnsi="Calibri"/>
                <w:sz w:val="20"/>
                <w:szCs w:val="20"/>
              </w:rPr>
              <w:t> </w:t>
            </w:r>
            <w:r>
              <w:rPr>
                <w:rFonts w:ascii="Calibri" w:hAnsi="Calibri"/>
                <w:sz w:val="20"/>
                <w:szCs w:val="20"/>
              </w:rPr>
              <w:t>The TX UE reports ACK</w:t>
            </w:r>
            <w:r>
              <w:rPr>
                <w:rStyle w:val="apple-converted-space"/>
                <w:rFonts w:ascii="Calibri" w:hAnsi="Calibri"/>
                <w:sz w:val="20"/>
                <w:szCs w:val="20"/>
              </w:rPr>
              <w:t> </w:t>
            </w:r>
            <w:r>
              <w:rPr>
                <w:rFonts w:ascii="Calibri" w:hAnsi="Calibri"/>
                <w:color w:val="FF0000"/>
                <w:sz w:val="20"/>
                <w:szCs w:val="20"/>
              </w:rPr>
              <w:t>or NACK according to the necessity of additional resources</w:t>
            </w:r>
            <w:r>
              <w:rPr>
                <w:rStyle w:val="apple-converted-space"/>
                <w:rFonts w:ascii="Calibri" w:hAnsi="Calibri"/>
                <w:color w:val="FF0000"/>
                <w:sz w:val="20"/>
                <w:szCs w:val="20"/>
              </w:rPr>
              <w:t> </w:t>
            </w:r>
            <w:r>
              <w:rPr>
                <w:rFonts w:ascii="Calibri" w:hAnsi="Calibri"/>
                <w:sz w:val="20"/>
                <w:szCs w:val="20"/>
              </w:rPr>
              <w:t>in case that the SL transmission does not use SL HARQ feedback.</w:t>
            </w:r>
          </w:p>
          <w:p w14:paraId="25864AA7" w14:textId="77777777" w:rsidR="006B24EB" w:rsidRDefault="006B24EB">
            <w:pPr>
              <w:rPr>
                <w:rFonts w:ascii="Times New Roman" w:hAnsi="Times New Roman" w:cs="Times New Roman"/>
              </w:rPr>
            </w:pPr>
            <w:r>
              <w:rPr>
                <w:rFonts w:ascii="Malgun Gothic" w:eastAsia="Malgun Gothic" w:hAnsi="Malgun Gothic" w:hint="eastAsia"/>
                <w:color w:val="1F497D"/>
                <w:sz w:val="20"/>
                <w:szCs w:val="20"/>
              </w:rPr>
              <w:t> </w:t>
            </w:r>
          </w:p>
          <w:p w14:paraId="2BEAA297" w14:textId="77777777" w:rsidR="006B24EB" w:rsidRDefault="006B24EB">
            <w:pPr>
              <w:rPr>
                <w:rFonts w:ascii="Times New Roman" w:hAnsi="Times New Roman" w:cs="Times New Roman"/>
              </w:rPr>
            </w:pPr>
            <w:r>
              <w:rPr>
                <w:rFonts w:ascii="Calibri" w:hAnsi="Calibri"/>
                <w:b/>
                <w:bCs/>
                <w:color w:val="FF0000"/>
              </w:rPr>
              <w:t>FL reply:</w:t>
            </w:r>
          </w:p>
          <w:p w14:paraId="636C3DFD" w14:textId="77777777" w:rsidR="006B24EB" w:rsidRDefault="006B24EB">
            <w:pPr>
              <w:rPr>
                <w:rFonts w:ascii="Times New Roman" w:hAnsi="Times New Roman" w:cs="Times New Roman"/>
              </w:rPr>
            </w:pPr>
            <w:r>
              <w:rPr>
                <w:rFonts w:ascii="Calibri" w:hAnsi="Calibri"/>
                <w:color w:val="FF0000"/>
                <w:lang w:val="en-GB"/>
              </w:rPr>
              <w:t> </w:t>
            </w:r>
          </w:p>
          <w:p w14:paraId="4A930985" w14:textId="77777777" w:rsidR="006B24EB" w:rsidRDefault="006B24EB">
            <w:pPr>
              <w:rPr>
                <w:rFonts w:ascii="Times New Roman" w:hAnsi="Times New Roman" w:cs="Times New Roman"/>
              </w:rPr>
            </w:pPr>
            <w:r>
              <w:rPr>
                <w:rFonts w:ascii="Calibri" w:hAnsi="Calibri"/>
                <w:color w:val="FF0000"/>
              </w:rPr>
              <w:t>See my reply to other companies and the updated proposal.</w:t>
            </w:r>
          </w:p>
        </w:tc>
      </w:tr>
      <w:tr w:rsidR="006B24EB" w14:paraId="664C5B8A"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905A4" w14:textId="77777777" w:rsidR="006B24EB" w:rsidRDefault="006B24EB">
            <w:pPr>
              <w:rPr>
                <w:rFonts w:ascii="Times New Roman" w:hAnsi="Times New Roman" w:cs="Times New Roman"/>
              </w:rPr>
            </w:pPr>
            <w:r>
              <w:rPr>
                <w:rFonts w:ascii="Calibri" w:hAnsi="Calibri"/>
              </w:rPr>
              <w:t>Intel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BA2937" w14:textId="77777777" w:rsidR="006B24EB" w:rsidRDefault="006B24EB">
            <w:pPr>
              <w:rPr>
                <w:rFonts w:ascii="Times New Roman" w:hAnsi="Times New Roman" w:cs="Times New Roman"/>
              </w:rPr>
            </w:pPr>
            <w:r>
              <w:rPr>
                <w:rFonts w:ascii="Calibri" w:hAnsi="Calibri"/>
              </w:rPr>
              <w:t>For Q6, we are supportive of letting a UE to request more resources even for blind ReTX. We don’t see how it could be precisely formulated for all cases, thus it could be left up to a UE implementation.</w:t>
            </w:r>
          </w:p>
          <w:p w14:paraId="08CBE525" w14:textId="77777777" w:rsidR="006B24EB" w:rsidRDefault="006B24EB">
            <w:pPr>
              <w:rPr>
                <w:rFonts w:ascii="Times New Roman" w:hAnsi="Times New Roman" w:cs="Times New Roman"/>
              </w:rPr>
            </w:pPr>
            <w:r>
              <w:rPr>
                <w:rFonts w:ascii="Calibri" w:hAnsi="Calibri"/>
              </w:rPr>
              <w:t> </w:t>
            </w:r>
          </w:p>
          <w:p w14:paraId="11227ED5" w14:textId="77777777" w:rsidR="006B24EB" w:rsidRDefault="006B24EB">
            <w:pPr>
              <w:rPr>
                <w:rFonts w:ascii="Times New Roman" w:hAnsi="Times New Roman" w:cs="Times New Roman"/>
              </w:rPr>
            </w:pPr>
            <w:r>
              <w:rPr>
                <w:rFonts w:ascii="Calibri" w:hAnsi="Calibri"/>
                <w:b/>
                <w:bCs/>
                <w:color w:val="FF0000"/>
              </w:rPr>
              <w:t>FL reply:</w:t>
            </w:r>
          </w:p>
          <w:p w14:paraId="7368624E" w14:textId="77777777" w:rsidR="006B24EB" w:rsidRDefault="006B24EB">
            <w:pPr>
              <w:rPr>
                <w:rFonts w:ascii="Times New Roman" w:hAnsi="Times New Roman" w:cs="Times New Roman"/>
              </w:rPr>
            </w:pPr>
            <w:r>
              <w:rPr>
                <w:rFonts w:ascii="Calibri" w:hAnsi="Calibri"/>
                <w:color w:val="FF0000"/>
                <w:lang w:val="en-GB"/>
              </w:rPr>
              <w:t> </w:t>
            </w:r>
          </w:p>
          <w:p w14:paraId="06903BA2" w14:textId="77777777" w:rsidR="006B24EB" w:rsidRDefault="006B24EB">
            <w:pPr>
              <w:rPr>
                <w:rFonts w:ascii="Times New Roman" w:hAnsi="Times New Roman" w:cs="Times New Roman"/>
              </w:rPr>
            </w:pPr>
            <w:r>
              <w:rPr>
                <w:rFonts w:ascii="Calibri" w:hAnsi="Calibri"/>
                <w:color w:val="FF0000"/>
              </w:rPr>
              <w:t>See my reply to other companies and the updated proposal.</w:t>
            </w:r>
          </w:p>
        </w:tc>
      </w:tr>
      <w:tr w:rsidR="006B24EB" w14:paraId="695744EE"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0A4FC" w14:textId="77777777" w:rsidR="006B24EB" w:rsidRDefault="006B24EB">
            <w:pPr>
              <w:rPr>
                <w:rFonts w:ascii="Times New Roman" w:hAnsi="Times New Roman" w:cs="Times New Roman"/>
              </w:rPr>
            </w:pPr>
            <w:r>
              <w:rPr>
                <w:rFonts w:ascii="Calibri" w:hAnsi="Calibri"/>
              </w:rPr>
              <w:t>Ericsson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A627F3" w14:textId="77777777" w:rsidR="006B24EB" w:rsidRDefault="006B24EB">
            <w:pPr>
              <w:rPr>
                <w:rFonts w:ascii="Times New Roman" w:hAnsi="Times New Roman" w:cs="Times New Roman"/>
              </w:rPr>
            </w:pPr>
            <w:r>
              <w:rPr>
                <w:rFonts w:ascii="Calibri" w:hAnsi="Calibri"/>
              </w:rPr>
              <w:t>We share the concerns expressed by other companies. Our preference is still to have it left up to UE implementation.</w:t>
            </w:r>
          </w:p>
        </w:tc>
      </w:tr>
      <w:tr w:rsidR="006B24EB" w14:paraId="7398AB4A" w14:textId="77777777" w:rsidTr="006B24EB">
        <w:trPr>
          <w:trHeight w:val="4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C4C61" w14:textId="77777777" w:rsidR="006B24EB" w:rsidRDefault="006B24EB">
            <w:pPr>
              <w:spacing w:before="100" w:beforeAutospacing="1" w:after="100" w:afterAutospacing="1"/>
              <w:rPr>
                <w:rFonts w:ascii="Times New Roman" w:hAnsi="Times New Roman" w:cs="Times New Roman"/>
              </w:rPr>
            </w:pPr>
            <w:r>
              <w:rPr>
                <w:rFonts w:ascii="Arial" w:hAnsi="Arial" w:cs="Arial"/>
                <w:sz w:val="20"/>
                <w:szCs w:val="20"/>
              </w:rPr>
              <w:t>Samsung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0B10FD"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sz w:val="20"/>
                <w:szCs w:val="20"/>
              </w:rPr>
              <w:t>The motivation of UE reporting NACK to gNB to request more retransmission resource seems reasonable for us. But the proposal is unclear with how to decide ACK/NACK. We consider whether the case needs to be endorsed will depend on RAN2 progress, and RAN1 should not spend much time on it. Therefore, we suggest to add a condition as clarification, and leave the method of decision up to UE implementation to reduce RAN1 spec impact, as follows:</w:t>
            </w:r>
          </w:p>
          <w:p w14:paraId="70977507"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sz w:val="20"/>
                <w:szCs w:val="20"/>
              </w:rPr>
              <w:t> If the SL transmission</w:t>
            </w:r>
            <w:r>
              <w:rPr>
                <w:rStyle w:val="apple-converted-space"/>
                <w:rFonts w:ascii="Times New Roman" w:hAnsi="Times New Roman" w:cs="Times New Roman"/>
                <w:color w:val="FF0000"/>
                <w:sz w:val="20"/>
                <w:szCs w:val="20"/>
              </w:rPr>
              <w:t> </w:t>
            </w:r>
            <w:r>
              <w:rPr>
                <w:rFonts w:ascii="Times New Roman" w:hAnsi="Times New Roman" w:cs="Times New Roman"/>
                <w:color w:val="FF0000"/>
                <w:sz w:val="20"/>
                <w:szCs w:val="20"/>
                <w:u w:val="single"/>
              </w:rPr>
              <w:t>is configured with PUCCH resource and</w:t>
            </w:r>
            <w:r>
              <w:rPr>
                <w:rStyle w:val="apple-converted-space"/>
                <w:rFonts w:ascii="Times New Roman" w:hAnsi="Times New Roman" w:cs="Times New Roman"/>
                <w:color w:val="FF0000"/>
                <w:sz w:val="20"/>
                <w:szCs w:val="20"/>
                <w:u w:val="single"/>
              </w:rPr>
              <w:t> </w:t>
            </w:r>
            <w:r>
              <w:rPr>
                <w:rFonts w:ascii="Times New Roman" w:hAnsi="Times New Roman" w:cs="Times New Roman"/>
                <w:color w:val="FF0000"/>
                <w:sz w:val="20"/>
                <w:szCs w:val="20"/>
              </w:rPr>
              <w:t>does not use SL HARQ feedback,</w:t>
            </w:r>
            <w:r>
              <w:rPr>
                <w:rStyle w:val="apple-converted-space"/>
                <w:rFonts w:ascii="Times New Roman" w:hAnsi="Times New Roman" w:cs="Times New Roman"/>
                <w:color w:val="FF0000"/>
                <w:sz w:val="20"/>
                <w:szCs w:val="20"/>
              </w:rPr>
              <w:t> </w:t>
            </w:r>
            <w:r>
              <w:rPr>
                <w:rFonts w:ascii="Times New Roman" w:hAnsi="Times New Roman" w:cs="Times New Roman"/>
                <w:strike/>
                <w:color w:val="FF0000"/>
                <w:sz w:val="20"/>
                <w:szCs w:val="20"/>
              </w:rPr>
              <w:t>the UE decides</w:t>
            </w:r>
            <w:r>
              <w:rPr>
                <w:rStyle w:val="apple-converted-space"/>
                <w:rFonts w:ascii="Times New Roman" w:hAnsi="Times New Roman" w:cs="Times New Roman"/>
                <w:strike/>
                <w:color w:val="FF0000"/>
                <w:sz w:val="20"/>
                <w:szCs w:val="20"/>
              </w:rPr>
              <w:t> </w:t>
            </w:r>
            <w:r>
              <w:rPr>
                <w:rFonts w:ascii="Times New Roman" w:hAnsi="Times New Roman" w:cs="Times New Roman"/>
                <w:color w:val="FF0000"/>
                <w:sz w:val="20"/>
                <w:szCs w:val="20"/>
                <w:u w:val="single"/>
              </w:rPr>
              <w:t>it is up to Tx UE implementation</w:t>
            </w:r>
            <w:r>
              <w:rPr>
                <w:rStyle w:val="apple-converted-space"/>
                <w:rFonts w:ascii="Times New Roman" w:hAnsi="Times New Roman" w:cs="Times New Roman"/>
                <w:color w:val="FF0000"/>
                <w:sz w:val="20"/>
                <w:szCs w:val="20"/>
                <w:u w:val="single"/>
              </w:rPr>
              <w:t> </w:t>
            </w:r>
            <w:r>
              <w:rPr>
                <w:rFonts w:ascii="Times New Roman" w:hAnsi="Times New Roman" w:cs="Times New Roman"/>
                <w:color w:val="FF0000"/>
                <w:sz w:val="20"/>
                <w:szCs w:val="20"/>
              </w:rPr>
              <w:t>whether to report ACK or NACK.</w:t>
            </w:r>
          </w:p>
          <w:p w14:paraId="7D717371" w14:textId="77777777" w:rsidR="006B24EB" w:rsidRDefault="006B24EB">
            <w:pPr>
              <w:rPr>
                <w:rFonts w:ascii="Times New Roman" w:hAnsi="Times New Roman" w:cs="Times New Roman"/>
              </w:rPr>
            </w:pPr>
            <w:r>
              <w:rPr>
                <w:rFonts w:ascii="Calibri" w:hAnsi="Calibri"/>
              </w:rPr>
              <w:t> </w:t>
            </w:r>
          </w:p>
          <w:p w14:paraId="0466B775" w14:textId="77777777" w:rsidR="006B24EB" w:rsidRDefault="006B24EB">
            <w:pPr>
              <w:rPr>
                <w:rFonts w:ascii="Times New Roman" w:hAnsi="Times New Roman" w:cs="Times New Roman"/>
              </w:rPr>
            </w:pPr>
            <w:r>
              <w:rPr>
                <w:rFonts w:ascii="Calibri" w:hAnsi="Calibri"/>
                <w:b/>
                <w:bCs/>
                <w:color w:val="FF0000"/>
              </w:rPr>
              <w:t>FL reply:</w:t>
            </w:r>
            <w:r>
              <w:rPr>
                <w:rStyle w:val="apple-converted-space"/>
                <w:rFonts w:ascii="Calibri" w:hAnsi="Calibri"/>
                <w:b/>
                <w:bCs/>
                <w:color w:val="FF0000"/>
              </w:rPr>
              <w:t> </w:t>
            </w:r>
            <w:r>
              <w:rPr>
                <w:rFonts w:ascii="Calibri" w:hAnsi="Calibri"/>
                <w:color w:val="FF0000"/>
              </w:rPr>
              <w:t>My reading of the proposal is that the decision is up to UE implementation. I have anyhow clarified it.</w:t>
            </w:r>
          </w:p>
        </w:tc>
      </w:tr>
    </w:tbl>
    <w:p w14:paraId="4DE29F48" w14:textId="5CB8EB85" w:rsidR="006B24EB" w:rsidRDefault="006B24EB" w:rsidP="006B24EB">
      <w:pPr>
        <w:rPr>
          <w:rFonts w:ascii="Times New Roman" w:eastAsia="MS PGothic" w:hAnsi="Times New Roman" w:cs="Times New Roman"/>
          <w:sz w:val="24"/>
          <w:szCs w:val="24"/>
          <w:lang w:val="en-US" w:eastAsia="ja-JP"/>
        </w:rPr>
      </w:pPr>
    </w:p>
    <w:p w14:paraId="0A0574C9" w14:textId="77777777" w:rsidR="006B24EB" w:rsidRDefault="006B24EB" w:rsidP="006B24EB">
      <w:pPr>
        <w:spacing w:after="0" w:line="240" w:lineRule="auto"/>
        <w:rPr>
          <w:rFonts w:ascii="Arial" w:eastAsiaTheme="minorEastAsia" w:hAnsi="Arial" w:cs="Arial"/>
          <w:sz w:val="36"/>
          <w:szCs w:val="20"/>
          <w:lang w:val="en-GB" w:eastAsia="ja-JP"/>
        </w:rPr>
      </w:pPr>
      <w:r>
        <w:rPr>
          <w:rFonts w:cs="Arial"/>
        </w:rPr>
        <w:br w:type="page"/>
      </w:r>
    </w:p>
    <w:p w14:paraId="3F3DF093" w14:textId="77777777" w:rsidR="006B24EB" w:rsidRPr="006B24EB" w:rsidRDefault="006B24EB" w:rsidP="006B24EB">
      <w:pPr>
        <w:rPr>
          <w:lang w:val="en-GB" w:eastAsia="ja-JP"/>
        </w:rPr>
      </w:pPr>
    </w:p>
    <w:p w14:paraId="353CCF36" w14:textId="77777777" w:rsidR="006B24EB" w:rsidRDefault="006B24EB" w:rsidP="00B9540F">
      <w:pPr>
        <w:pStyle w:val="Heading1"/>
        <w:jc w:val="both"/>
        <w:rPr>
          <w:rFonts w:cs="Arial"/>
        </w:rPr>
      </w:pPr>
    </w:p>
    <w:p w14:paraId="5E5CA310" w14:textId="2C70F7F3" w:rsidR="00B9540F" w:rsidRPr="00D34D4E" w:rsidRDefault="006B24EB" w:rsidP="00B9540F">
      <w:pPr>
        <w:pStyle w:val="Heading1"/>
        <w:jc w:val="both"/>
        <w:rPr>
          <w:rFonts w:cs="Arial"/>
        </w:rPr>
      </w:pPr>
      <w:r>
        <w:rPr>
          <w:rFonts w:cs="Arial"/>
        </w:rPr>
        <w:t>3</w:t>
      </w:r>
      <w:r>
        <w:rPr>
          <w:rFonts w:cs="Arial"/>
        </w:rPr>
        <w:tab/>
      </w:r>
      <w:r w:rsidR="00B9540F">
        <w:rPr>
          <w:rFonts w:cs="Arial"/>
        </w:rPr>
        <w:t>Full l</w:t>
      </w:r>
      <w:r w:rsidR="00B9540F" w:rsidRPr="00D34D4E">
        <w:rPr>
          <w:rFonts w:cs="Arial"/>
        </w:rPr>
        <w:t xml:space="preserve">ist of </w:t>
      </w:r>
      <w:r w:rsidR="00B9540F">
        <w:rPr>
          <w:rFonts w:cs="Arial"/>
        </w:rPr>
        <w:t>critical issues</w:t>
      </w:r>
    </w:p>
    <w:p w14:paraId="22E873BB" w14:textId="77777777" w:rsidR="00B9540F" w:rsidRDefault="00B9540F" w:rsidP="00EF4B5D">
      <w:pPr>
        <w:pStyle w:val="ListParagraph"/>
        <w:numPr>
          <w:ilvl w:val="0"/>
          <w:numId w:val="15"/>
        </w:numPr>
        <w:spacing w:after="0" w:line="240" w:lineRule="auto"/>
        <w:ind w:left="360" w:right="300"/>
        <w:rPr>
          <w:rFonts w:eastAsia="SimSun" w:cs="Times New Roman"/>
          <w:b/>
          <w:bCs/>
          <w:lang w:val="en-US" w:eastAsia="fi-FI"/>
        </w:rPr>
      </w:pPr>
      <w:r>
        <w:rPr>
          <w:b/>
          <w:bCs/>
          <w:lang w:val="en-US"/>
        </w:rPr>
        <w:t>1.1 General aspects</w:t>
      </w:r>
    </w:p>
    <w:p w14:paraId="4AAC9B62" w14:textId="77777777" w:rsidR="00B9540F" w:rsidRDefault="00B9540F" w:rsidP="00EF4B5D">
      <w:pPr>
        <w:pStyle w:val="ListParagraph"/>
        <w:numPr>
          <w:ilvl w:val="1"/>
          <w:numId w:val="15"/>
        </w:numPr>
        <w:spacing w:after="0" w:line="240" w:lineRule="auto"/>
        <w:ind w:left="1080" w:right="300"/>
        <w:rPr>
          <w:b/>
          <w:bCs/>
          <w:lang w:val="en-US"/>
        </w:rPr>
      </w:pPr>
      <w:r>
        <w:rPr>
          <w:b/>
          <w:bCs/>
          <w:lang w:val="en-US"/>
        </w:rPr>
        <w:t xml:space="preserve">1.1.1 Determination of slot for transmissions </w:t>
      </w:r>
      <w:r>
        <w:rPr>
          <w:b/>
          <w:bCs/>
          <w:highlight w:val="yellow"/>
          <w:lang w:val="en-US"/>
        </w:rPr>
        <w:t>[Prioritized]</w:t>
      </w:r>
    </w:p>
    <w:p w14:paraId="5AD1DF42" w14:textId="77777777" w:rsidR="00B9540F" w:rsidRDefault="00B9540F" w:rsidP="00EF4B5D">
      <w:pPr>
        <w:pStyle w:val="ListParagraph"/>
        <w:numPr>
          <w:ilvl w:val="2"/>
          <w:numId w:val="15"/>
        </w:numPr>
        <w:spacing w:after="0" w:line="240" w:lineRule="auto"/>
        <w:ind w:left="1800" w:right="300"/>
        <w:rPr>
          <w:lang w:val="en-US"/>
        </w:rPr>
      </w:pPr>
      <w:r>
        <w:rPr>
          <w:lang w:val="en-US"/>
        </w:rPr>
        <w:t>Slot of the first sidelink transmission:</w:t>
      </w:r>
    </w:p>
    <w:p w14:paraId="406ECCF4" w14:textId="77777777" w:rsidR="00B9540F" w:rsidRDefault="00B9540F" w:rsidP="00EF4B5D">
      <w:pPr>
        <w:pStyle w:val="ListParagraph"/>
        <w:numPr>
          <w:ilvl w:val="3"/>
          <w:numId w:val="15"/>
        </w:numPr>
        <w:spacing w:after="0" w:line="240" w:lineRule="auto"/>
        <w:ind w:left="2520" w:right="300"/>
        <w:rPr>
          <w:lang w:val="en-US"/>
        </w:rPr>
      </w:pPr>
      <w:r>
        <w:rPr>
          <w:lang w:val="en-US"/>
        </w:rPr>
        <w:t>Possible corrections to the agreed formula (i.e.,</w:t>
      </w:r>
      <m:oMath>
        <m:r>
          <m:rPr>
            <m:sty m:val="bi"/>
          </m:rPr>
          <w:rPr>
            <w:rFonts w:ascii="Cambria Math" w:hAnsi="Cambria Math" w:cs="Arial"/>
            <w:sz w:val="24"/>
          </w:rPr>
          <m:t xml:space="preserve"> </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DL</m:t>
            </m:r>
          </m:sub>
        </m:sSub>
        <m:r>
          <m:rPr>
            <m:sty m:val="bi"/>
          </m:rPr>
          <w:rPr>
            <w:rFonts w:ascii="Cambria Math" w:hAnsi="Cambria Math" w:cs="Arial"/>
            <w:sz w:val="24"/>
          </w:rPr>
          <m:t>-</m:t>
        </m:r>
        <m:f>
          <m:fPr>
            <m:ctrlPr>
              <w:rPr>
                <w:rFonts w:ascii="Cambria Math" w:hAnsi="Cambria Math" w:cs="Arial"/>
                <w:b/>
                <w:i/>
                <w:sz w:val="24"/>
              </w:rPr>
            </m:ctrlPr>
          </m:fPr>
          <m:num>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TA</m:t>
                </m:r>
              </m:sub>
            </m:sSub>
          </m:num>
          <m:den>
            <m:r>
              <m:rPr>
                <m:sty m:val="bi"/>
              </m:rPr>
              <w:rPr>
                <w:rFonts w:ascii="Cambria Math" w:hAnsi="Cambria Math" w:cs="Arial"/>
                <w:sz w:val="24"/>
              </w:rPr>
              <m:t>2</m:t>
            </m:r>
          </m:den>
        </m:f>
        <m:r>
          <m:rPr>
            <m:sty m:val="bi"/>
          </m:rPr>
          <w:rPr>
            <w:rFonts w:ascii="Cambria Math" w:hAnsi="Cambria Math" w:cs="Arial"/>
            <w:sz w:val="24"/>
          </w:rPr>
          <m:t>×</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lang w:val="en-US"/>
              </w:rPr>
              <m:t>C</m:t>
            </m:r>
          </m:sub>
        </m:sSub>
        <m:r>
          <m:rPr>
            <m:sty m:val="bi"/>
          </m:rPr>
          <w:rPr>
            <w:rFonts w:ascii="Cambria Math" w:hAnsi="Cambria Math" w:cs="Arial"/>
            <w:sz w:val="24"/>
          </w:rPr>
          <m:t>+m×</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slot</m:t>
            </m:r>
          </m:sub>
        </m:sSub>
      </m:oMath>
      <w:r>
        <w:rPr>
          <w:lang w:val="en-US"/>
        </w:rPr>
        <w:t>) for dynamic grant and configured grant type-2.</w:t>
      </w:r>
    </w:p>
    <w:p w14:paraId="75B98EA5" w14:textId="77777777" w:rsidR="00B9540F" w:rsidRDefault="00B9540F" w:rsidP="00EF4B5D">
      <w:pPr>
        <w:pStyle w:val="ListParagraph"/>
        <w:numPr>
          <w:ilvl w:val="3"/>
          <w:numId w:val="15"/>
        </w:numPr>
        <w:spacing w:after="0" w:line="240" w:lineRule="auto"/>
        <w:ind w:left="2520" w:right="300"/>
        <w:rPr>
          <w:lang w:val="en-US"/>
        </w:rPr>
      </w:pPr>
      <w:r>
        <w:rPr>
          <w:lang w:val="en-US"/>
        </w:rPr>
        <w:t>Determination for configured grant type-1.</w:t>
      </w:r>
    </w:p>
    <w:p w14:paraId="6AA24042" w14:textId="77777777" w:rsidR="00B9540F" w:rsidRDefault="00B9540F" w:rsidP="00EF4B5D">
      <w:pPr>
        <w:pStyle w:val="ListParagraph"/>
        <w:numPr>
          <w:ilvl w:val="3"/>
          <w:numId w:val="15"/>
        </w:numPr>
        <w:spacing w:after="0" w:line="240" w:lineRule="auto"/>
        <w:ind w:left="2520" w:right="300"/>
        <w:rPr>
          <w:lang w:val="en-US"/>
        </w:rPr>
      </w:pPr>
      <w:r>
        <w:rPr>
          <w:lang w:val="en-US"/>
        </w:rPr>
        <w:t>Determination for LTE Uu scheduling NR sidelink.</w:t>
      </w:r>
    </w:p>
    <w:p w14:paraId="6D88089A" w14:textId="77777777" w:rsidR="00B9540F" w:rsidRDefault="00B9540F" w:rsidP="00EF4B5D">
      <w:pPr>
        <w:pStyle w:val="ListParagraph"/>
        <w:numPr>
          <w:ilvl w:val="2"/>
          <w:numId w:val="15"/>
        </w:numPr>
        <w:spacing w:after="0" w:line="240" w:lineRule="auto"/>
        <w:ind w:left="1800" w:right="300"/>
        <w:rPr>
          <w:lang w:val="en-US"/>
        </w:rPr>
      </w:pPr>
      <w:r>
        <w:rPr>
          <w:lang w:val="en-US"/>
        </w:rPr>
        <w:t>Slot of the uplink transmission for SL HARQ-ACK reporting to the gNB.</w:t>
      </w:r>
    </w:p>
    <w:p w14:paraId="16BEF9FA" w14:textId="77777777" w:rsidR="00B9540F" w:rsidRDefault="00B9540F" w:rsidP="00EF4B5D">
      <w:pPr>
        <w:pStyle w:val="ListParagraph"/>
        <w:numPr>
          <w:ilvl w:val="1"/>
          <w:numId w:val="15"/>
        </w:numPr>
        <w:spacing w:after="0" w:line="240" w:lineRule="auto"/>
        <w:ind w:left="1080" w:right="450"/>
        <w:rPr>
          <w:b/>
          <w:bCs/>
          <w:lang w:val="en-US"/>
        </w:rPr>
      </w:pPr>
      <w:r>
        <w:rPr>
          <w:b/>
          <w:bCs/>
          <w:lang w:val="en-US"/>
        </w:rPr>
        <w:t>1.1.2 Processing times</w:t>
      </w:r>
    </w:p>
    <w:p w14:paraId="3788B361" w14:textId="77777777" w:rsidR="00B9540F" w:rsidRDefault="00B9540F" w:rsidP="00EF4B5D">
      <w:pPr>
        <w:pStyle w:val="ListParagraph"/>
        <w:numPr>
          <w:ilvl w:val="2"/>
          <w:numId w:val="15"/>
        </w:numPr>
        <w:spacing w:after="0" w:line="240" w:lineRule="auto"/>
        <w:ind w:left="1800" w:right="300"/>
        <w:rPr>
          <w:lang w:val="en-US"/>
        </w:rPr>
      </w:pPr>
      <w:r>
        <w:rPr>
          <w:lang w:val="en-US"/>
        </w:rPr>
        <w:t>PSCCH/PSSCH preparation time.</w:t>
      </w:r>
    </w:p>
    <w:p w14:paraId="125655A0" w14:textId="77777777" w:rsidR="00B9540F" w:rsidRDefault="00B9540F" w:rsidP="00EF4B5D">
      <w:pPr>
        <w:pStyle w:val="ListParagraph"/>
        <w:numPr>
          <w:ilvl w:val="2"/>
          <w:numId w:val="15"/>
        </w:numPr>
        <w:spacing w:after="0" w:line="240" w:lineRule="auto"/>
        <w:ind w:left="1800" w:right="300"/>
        <w:rPr>
          <w:lang w:val="en-US"/>
        </w:rPr>
      </w:pPr>
      <w:r>
        <w:rPr>
          <w:lang w:val="en-US"/>
        </w:rPr>
        <w:t>HARQ-ACK reporting to gNB.</w:t>
      </w:r>
    </w:p>
    <w:p w14:paraId="151F963F" w14:textId="77777777" w:rsidR="00B9540F" w:rsidRDefault="00B9540F" w:rsidP="00EF4B5D">
      <w:pPr>
        <w:pStyle w:val="ListParagraph"/>
        <w:numPr>
          <w:ilvl w:val="0"/>
          <w:numId w:val="15"/>
        </w:numPr>
        <w:spacing w:before="240" w:after="0" w:line="240" w:lineRule="auto"/>
        <w:ind w:left="360" w:right="450"/>
        <w:rPr>
          <w:b/>
          <w:bCs/>
          <w:lang w:val="en-US"/>
        </w:rPr>
      </w:pPr>
      <w:r>
        <w:rPr>
          <w:b/>
          <w:bCs/>
          <w:lang w:val="en-US"/>
        </w:rPr>
        <w:t xml:space="preserve">1.2 General HARQ aspects </w:t>
      </w:r>
      <w:r>
        <w:rPr>
          <w:b/>
          <w:bCs/>
          <w:highlight w:val="yellow"/>
          <w:lang w:val="en-US"/>
        </w:rPr>
        <w:t>[Prioritized]</w:t>
      </w:r>
    </w:p>
    <w:p w14:paraId="77D3AE6C" w14:textId="77777777" w:rsidR="00B9540F" w:rsidRDefault="00B9540F" w:rsidP="00EF4B5D">
      <w:pPr>
        <w:pStyle w:val="ListParagraph"/>
        <w:numPr>
          <w:ilvl w:val="1"/>
          <w:numId w:val="15"/>
        </w:numPr>
        <w:spacing w:after="0" w:line="240" w:lineRule="auto"/>
        <w:ind w:left="1080" w:right="300"/>
        <w:rPr>
          <w:lang w:val="en-US"/>
        </w:rPr>
      </w:pPr>
      <w:r>
        <w:rPr>
          <w:lang w:val="en-US"/>
        </w:rPr>
        <w:lastRenderedPageBreak/>
        <w:t>Relationship between HPN and NDI in DCI and HPN and NDI in SCI.</w:t>
      </w:r>
    </w:p>
    <w:p w14:paraId="0ED766A4" w14:textId="77777777" w:rsidR="00B9540F" w:rsidRPr="0003138A" w:rsidRDefault="00B9540F" w:rsidP="00EF4B5D">
      <w:pPr>
        <w:pStyle w:val="ListParagraph"/>
        <w:numPr>
          <w:ilvl w:val="1"/>
          <w:numId w:val="15"/>
        </w:numPr>
        <w:spacing w:after="0" w:line="240" w:lineRule="auto"/>
        <w:ind w:left="1080" w:right="300"/>
        <w:rPr>
          <w:lang w:val="en-US"/>
        </w:rPr>
      </w:pPr>
      <w:r>
        <w:rPr>
          <w:lang w:val="en-US"/>
        </w:rPr>
        <w:t xml:space="preserve">For configured grant, how to determine the HARQ process ID for a configured grant, the related </w:t>
      </w:r>
      <w:r w:rsidRPr="0003138A">
        <w:rPr>
          <w:lang w:val="en-US"/>
        </w:rPr>
        <w:t>working assumption, and including potential RRC parameters.</w:t>
      </w:r>
    </w:p>
    <w:p w14:paraId="7889495D" w14:textId="77777777" w:rsidR="00B9540F" w:rsidRPr="0003138A" w:rsidRDefault="00B9540F" w:rsidP="00EF4B5D">
      <w:pPr>
        <w:pStyle w:val="ListParagraph"/>
        <w:numPr>
          <w:ilvl w:val="1"/>
          <w:numId w:val="15"/>
        </w:numPr>
        <w:spacing w:after="0" w:line="240" w:lineRule="auto"/>
        <w:ind w:left="1080" w:right="300"/>
        <w:rPr>
          <w:lang w:val="en-US"/>
        </w:rPr>
      </w:pPr>
      <w:r w:rsidRPr="0003138A">
        <w:rPr>
          <w:lang w:val="en-US"/>
        </w:rPr>
        <w:t>For configured grant, when a retransmission is scheduled, how to determine the corresponding TB, including potential restrictions to the number of TBs transmitted within one period.</w:t>
      </w:r>
    </w:p>
    <w:p w14:paraId="45D05FEF" w14:textId="77777777" w:rsidR="00B9540F" w:rsidRPr="00153124" w:rsidRDefault="00B9540F" w:rsidP="00EF4B5D">
      <w:pPr>
        <w:pStyle w:val="ListParagraph"/>
        <w:numPr>
          <w:ilvl w:val="1"/>
          <w:numId w:val="15"/>
        </w:numPr>
        <w:spacing w:after="0" w:line="240" w:lineRule="auto"/>
        <w:ind w:left="1080" w:right="300"/>
        <w:rPr>
          <w:lang w:val="en-US"/>
        </w:rPr>
      </w:pPr>
      <w:r w:rsidRPr="00153124">
        <w:rPr>
          <w:lang w:val="en-US"/>
        </w:rPr>
        <w:t>For a configured grant, whether to allow using multiple HARQ processes in parallel.</w:t>
      </w:r>
    </w:p>
    <w:p w14:paraId="65FD2412" w14:textId="77777777" w:rsidR="00B9540F" w:rsidRPr="0003138A" w:rsidRDefault="00B9540F" w:rsidP="00EF4B5D">
      <w:pPr>
        <w:pStyle w:val="ListParagraph"/>
        <w:numPr>
          <w:ilvl w:val="0"/>
          <w:numId w:val="15"/>
        </w:numPr>
        <w:spacing w:before="240" w:after="0" w:line="240" w:lineRule="auto"/>
        <w:ind w:left="360" w:right="300"/>
        <w:rPr>
          <w:b/>
          <w:bCs/>
          <w:lang w:val="en-US"/>
        </w:rPr>
      </w:pPr>
      <w:r w:rsidRPr="0003138A">
        <w:rPr>
          <w:b/>
          <w:bCs/>
          <w:lang w:val="en-US"/>
        </w:rPr>
        <w:t>1.3 DCI aspects</w:t>
      </w:r>
    </w:p>
    <w:p w14:paraId="3B5DB4FC" w14:textId="77777777" w:rsidR="00B9540F" w:rsidRDefault="00B9540F" w:rsidP="00EF4B5D">
      <w:pPr>
        <w:pStyle w:val="ListParagraph"/>
        <w:numPr>
          <w:ilvl w:val="1"/>
          <w:numId w:val="15"/>
        </w:numPr>
        <w:spacing w:after="0" w:line="240" w:lineRule="auto"/>
        <w:ind w:left="1080" w:right="300"/>
        <w:rPr>
          <w:b/>
          <w:bCs/>
          <w:lang w:val="en-US"/>
        </w:rPr>
      </w:pPr>
      <w:r>
        <w:rPr>
          <w:b/>
          <w:bCs/>
          <w:lang w:val="en-US"/>
        </w:rPr>
        <w:t>1.3.1 Contents</w:t>
      </w:r>
    </w:p>
    <w:p w14:paraId="14F4F759" w14:textId="77777777" w:rsidR="00B9540F" w:rsidRDefault="00B9540F" w:rsidP="00EF4B5D">
      <w:pPr>
        <w:pStyle w:val="ListParagraph"/>
        <w:numPr>
          <w:ilvl w:val="2"/>
          <w:numId w:val="15"/>
        </w:numPr>
        <w:spacing w:after="0" w:line="240" w:lineRule="auto"/>
        <w:ind w:left="1800" w:right="300"/>
        <w:rPr>
          <w:lang w:val="en-US"/>
        </w:rPr>
      </w:pPr>
      <w:r>
        <w:rPr>
          <w:lang w:val="en-US"/>
        </w:rPr>
        <w:t>Sizes of the existing fields.</w:t>
      </w:r>
    </w:p>
    <w:p w14:paraId="14C1D5F8" w14:textId="77777777" w:rsidR="00B9540F" w:rsidRDefault="00B9540F" w:rsidP="00EF4B5D">
      <w:pPr>
        <w:pStyle w:val="ListParagraph"/>
        <w:numPr>
          <w:ilvl w:val="2"/>
          <w:numId w:val="15"/>
        </w:numPr>
        <w:spacing w:after="0" w:line="240" w:lineRule="auto"/>
        <w:ind w:left="1800" w:right="300"/>
        <w:rPr>
          <w:lang w:val="en-US"/>
        </w:rPr>
      </w:pPr>
      <w:r>
        <w:rPr>
          <w:lang w:val="en-US"/>
        </w:rPr>
        <w:t>Additional fields.</w:t>
      </w:r>
    </w:p>
    <w:p w14:paraId="6B3A4D41" w14:textId="77777777" w:rsidR="00B9540F" w:rsidRDefault="00B9540F" w:rsidP="00EF4B5D">
      <w:pPr>
        <w:pStyle w:val="ListParagraph"/>
        <w:numPr>
          <w:ilvl w:val="2"/>
          <w:numId w:val="15"/>
        </w:numPr>
        <w:spacing w:after="0" w:line="240" w:lineRule="auto"/>
        <w:ind w:left="1800" w:right="300"/>
        <w:rPr>
          <w:lang w:val="en-US"/>
        </w:rPr>
      </w:pPr>
      <w:r>
        <w:rPr>
          <w:lang w:val="en-US"/>
        </w:rPr>
        <w:t xml:space="preserve">Assign one combination of </w:t>
      </w:r>
      <w:r>
        <w:rPr>
          <w:rFonts w:hint="eastAsia"/>
          <w:lang w:val="en-US"/>
        </w:rPr>
        <w:t>“</w:t>
      </w:r>
      <w:r>
        <w:rPr>
          <w:lang w:val="en-US"/>
        </w:rPr>
        <w:t>timing and resource for PUCCH</w:t>
      </w:r>
      <w:r>
        <w:rPr>
          <w:rFonts w:hint="eastAsia"/>
          <w:lang w:val="en-US"/>
        </w:rPr>
        <w:t>”</w:t>
      </w:r>
      <w:r>
        <w:rPr>
          <w:lang w:val="en-US"/>
        </w:rPr>
        <w:t xml:space="preserve"> to indicate that PUCCH resource is not provided (to implement an existing agreement).</w:t>
      </w:r>
    </w:p>
    <w:p w14:paraId="36B29F5D" w14:textId="77777777" w:rsidR="00B9540F" w:rsidRDefault="00B9540F" w:rsidP="00EF4B5D">
      <w:pPr>
        <w:pStyle w:val="ListParagraph"/>
        <w:numPr>
          <w:ilvl w:val="2"/>
          <w:numId w:val="15"/>
        </w:numPr>
        <w:spacing w:after="0" w:line="240" w:lineRule="auto"/>
        <w:ind w:left="1800" w:right="300"/>
        <w:rPr>
          <w:lang w:val="en-US"/>
        </w:rPr>
      </w:pPr>
      <w:r>
        <w:rPr>
          <w:lang w:val="en-US"/>
        </w:rPr>
        <w:t>Indication of activation/release for a SL configured grant type-2</w:t>
      </w:r>
    </w:p>
    <w:p w14:paraId="7D988A39" w14:textId="77777777" w:rsidR="00B9540F" w:rsidRDefault="00B9540F" w:rsidP="00EF4B5D">
      <w:pPr>
        <w:pStyle w:val="ListParagraph"/>
        <w:numPr>
          <w:ilvl w:val="1"/>
          <w:numId w:val="15"/>
        </w:numPr>
        <w:spacing w:before="100" w:after="0" w:line="240" w:lineRule="auto"/>
        <w:ind w:left="1080" w:right="300"/>
        <w:rPr>
          <w:b/>
          <w:bCs/>
          <w:lang w:val="en-US"/>
        </w:rPr>
      </w:pPr>
      <w:r>
        <w:rPr>
          <w:b/>
          <w:bCs/>
          <w:lang w:val="en-US"/>
        </w:rPr>
        <w:t>1.3.2 Alignment of DCI formats</w:t>
      </w:r>
    </w:p>
    <w:p w14:paraId="5FFBABEF" w14:textId="77777777" w:rsidR="00B9540F" w:rsidRDefault="00B9540F" w:rsidP="00EF4B5D">
      <w:pPr>
        <w:pStyle w:val="ListParagraph"/>
        <w:numPr>
          <w:ilvl w:val="2"/>
          <w:numId w:val="15"/>
        </w:numPr>
        <w:spacing w:after="0" w:line="240" w:lineRule="auto"/>
        <w:ind w:left="1800" w:right="600"/>
        <w:rPr>
          <w:lang w:val="en-US"/>
        </w:rPr>
      </w:pPr>
      <w:r>
        <w:rPr>
          <w:lang w:val="en-US"/>
        </w:rPr>
        <w:t>Alignment of format 3_0 for dynamic grant and configured grant type-2.</w:t>
      </w:r>
    </w:p>
    <w:p w14:paraId="54FFDA26" w14:textId="77777777" w:rsidR="00B9540F" w:rsidRDefault="00B9540F" w:rsidP="00EF4B5D">
      <w:pPr>
        <w:pStyle w:val="ListParagraph"/>
        <w:numPr>
          <w:ilvl w:val="2"/>
          <w:numId w:val="15"/>
        </w:numPr>
        <w:spacing w:after="150" w:line="240" w:lineRule="auto"/>
        <w:ind w:left="1800" w:right="600"/>
        <w:rPr>
          <w:lang w:val="en-US"/>
        </w:rPr>
      </w:pPr>
      <w:r>
        <w:rPr>
          <w:lang w:val="en-US"/>
        </w:rPr>
        <w:t>Alignment of format 3_0 to other DCI formats.</w:t>
      </w:r>
    </w:p>
    <w:p w14:paraId="7660B3FA" w14:textId="77777777" w:rsidR="00B9540F" w:rsidRDefault="00B9540F" w:rsidP="00EF4B5D">
      <w:pPr>
        <w:pStyle w:val="ListParagraph"/>
        <w:numPr>
          <w:ilvl w:val="0"/>
          <w:numId w:val="15"/>
        </w:numPr>
        <w:spacing w:before="240" w:after="0" w:line="240" w:lineRule="auto"/>
        <w:ind w:left="360" w:right="300"/>
        <w:rPr>
          <w:b/>
          <w:bCs/>
          <w:lang w:val="en-US"/>
        </w:rPr>
      </w:pPr>
      <w:r>
        <w:rPr>
          <w:b/>
          <w:bCs/>
          <w:lang w:val="en-US"/>
        </w:rPr>
        <w:t>1.4 HARQ reporting to gNB</w:t>
      </w:r>
    </w:p>
    <w:p w14:paraId="76E5654B" w14:textId="77777777" w:rsidR="00B9540F" w:rsidRDefault="00B9540F" w:rsidP="00EF4B5D">
      <w:pPr>
        <w:pStyle w:val="ListParagraph"/>
        <w:numPr>
          <w:ilvl w:val="1"/>
          <w:numId w:val="15"/>
        </w:numPr>
        <w:spacing w:before="100" w:after="0" w:line="240" w:lineRule="auto"/>
        <w:ind w:left="1080" w:right="600"/>
        <w:rPr>
          <w:b/>
          <w:bCs/>
          <w:lang w:val="en-US"/>
        </w:rPr>
      </w:pPr>
      <w:r>
        <w:rPr>
          <w:b/>
          <w:bCs/>
          <w:lang w:val="en-US"/>
        </w:rPr>
        <w:t xml:space="preserve">1.4.1 HARQ-ACK report contents </w:t>
      </w:r>
      <w:r>
        <w:rPr>
          <w:b/>
          <w:bCs/>
          <w:highlight w:val="yellow"/>
          <w:lang w:val="en-US"/>
        </w:rPr>
        <w:t>[Prioritized]</w:t>
      </w:r>
    </w:p>
    <w:p w14:paraId="596BE89A" w14:textId="77777777" w:rsidR="00B9540F" w:rsidRDefault="00B9540F" w:rsidP="00EF4B5D">
      <w:pPr>
        <w:pStyle w:val="ListParagraph"/>
        <w:numPr>
          <w:ilvl w:val="2"/>
          <w:numId w:val="15"/>
        </w:numPr>
        <w:spacing w:after="0" w:line="240" w:lineRule="auto"/>
        <w:ind w:left="1800" w:right="300"/>
        <w:rPr>
          <w:lang w:val="en-US"/>
        </w:rPr>
      </w:pPr>
      <w:r>
        <w:rPr>
          <w:lang w:val="en-US"/>
        </w:rPr>
        <w:t xml:space="preserve">For groupcast option 1: </w:t>
      </w:r>
    </w:p>
    <w:p w14:paraId="1BC74D9D" w14:textId="77777777" w:rsidR="00B9540F" w:rsidRDefault="00B9540F" w:rsidP="00EF4B5D">
      <w:pPr>
        <w:pStyle w:val="ListParagraph"/>
        <w:numPr>
          <w:ilvl w:val="3"/>
          <w:numId w:val="15"/>
        </w:numPr>
        <w:spacing w:after="0" w:line="240" w:lineRule="auto"/>
        <w:ind w:left="2520" w:right="300"/>
        <w:rPr>
          <w:lang w:val="en-US"/>
        </w:rPr>
      </w:pPr>
      <w:r>
        <w:rPr>
          <w:lang w:val="en-US"/>
        </w:rPr>
        <w:t xml:space="preserve">The cases when TX UE does not transmit/receive due to prioritization. </w:t>
      </w:r>
    </w:p>
    <w:p w14:paraId="47F94891" w14:textId="77777777" w:rsidR="00B9540F" w:rsidRDefault="00B9540F" w:rsidP="00EF4B5D">
      <w:pPr>
        <w:pStyle w:val="ListParagraph"/>
        <w:numPr>
          <w:ilvl w:val="2"/>
          <w:numId w:val="15"/>
        </w:numPr>
        <w:spacing w:after="0" w:line="240" w:lineRule="auto"/>
        <w:ind w:left="1800" w:right="300"/>
        <w:rPr>
          <w:lang w:val="en-US"/>
        </w:rPr>
      </w:pPr>
      <w:r>
        <w:rPr>
          <w:lang w:val="en-US"/>
        </w:rPr>
        <w:t xml:space="preserve">For groupcast option 2: </w:t>
      </w:r>
    </w:p>
    <w:p w14:paraId="4161B5EC" w14:textId="77777777" w:rsidR="00B9540F" w:rsidRDefault="00B9540F" w:rsidP="00EF4B5D">
      <w:pPr>
        <w:pStyle w:val="ListParagraph"/>
        <w:numPr>
          <w:ilvl w:val="3"/>
          <w:numId w:val="15"/>
        </w:numPr>
        <w:spacing w:after="0" w:line="240" w:lineRule="auto"/>
        <w:ind w:left="2520" w:right="300"/>
        <w:rPr>
          <w:lang w:val="en-US"/>
        </w:rPr>
      </w:pPr>
      <w:r>
        <w:rPr>
          <w:lang w:val="en-US"/>
        </w:rPr>
        <w:t xml:space="preserve">The case with PSFCHs corresponding to multiple PSCCH/PSSCH transmissions before generating the HARQ-ACK report. </w:t>
      </w:r>
    </w:p>
    <w:p w14:paraId="5C8CF101" w14:textId="77777777" w:rsidR="00B9540F" w:rsidRDefault="00B9540F" w:rsidP="00EF4B5D">
      <w:pPr>
        <w:pStyle w:val="ListParagraph"/>
        <w:numPr>
          <w:ilvl w:val="3"/>
          <w:numId w:val="15"/>
        </w:numPr>
        <w:spacing w:after="0" w:line="240" w:lineRule="auto"/>
        <w:ind w:left="2520" w:right="300"/>
        <w:rPr>
          <w:lang w:val="en-US"/>
        </w:rPr>
      </w:pPr>
      <w:r>
        <w:rPr>
          <w:lang w:val="en-US"/>
        </w:rPr>
        <w:t>Behavior when TX UE does not detect some expected PSFCH.</w:t>
      </w:r>
    </w:p>
    <w:p w14:paraId="26069E23" w14:textId="77777777" w:rsidR="00B9540F" w:rsidRDefault="00B9540F" w:rsidP="00EF4B5D">
      <w:pPr>
        <w:pStyle w:val="ListParagraph"/>
        <w:numPr>
          <w:ilvl w:val="2"/>
          <w:numId w:val="15"/>
        </w:numPr>
        <w:spacing w:after="0" w:line="240" w:lineRule="auto"/>
        <w:ind w:left="1800" w:right="300"/>
        <w:rPr>
          <w:lang w:val="en-US"/>
        </w:rPr>
      </w:pPr>
      <w:r>
        <w:rPr>
          <w:lang w:val="en-US"/>
        </w:rPr>
        <w:t xml:space="preserve">The case when no PSCCH/PSSCH is transmitted in a set of resources for configured grant. </w:t>
      </w:r>
    </w:p>
    <w:p w14:paraId="66ED7855" w14:textId="77777777" w:rsidR="00B9540F" w:rsidRDefault="00B9540F" w:rsidP="00EF4B5D">
      <w:pPr>
        <w:pStyle w:val="ListParagraph"/>
        <w:numPr>
          <w:ilvl w:val="2"/>
          <w:numId w:val="15"/>
        </w:numPr>
        <w:spacing w:after="0" w:line="240" w:lineRule="auto"/>
        <w:ind w:left="1800" w:right="300"/>
        <w:rPr>
          <w:lang w:val="en-US"/>
        </w:rPr>
      </w:pPr>
      <w:r>
        <w:rPr>
          <w:lang w:val="en-US"/>
        </w:rPr>
        <w:t>The case of reaching the maximum number of HARQ re-transmissions for a TB.</w:t>
      </w:r>
    </w:p>
    <w:p w14:paraId="3F2E49FE" w14:textId="77777777" w:rsidR="00B9540F" w:rsidRDefault="00B9540F" w:rsidP="00EF4B5D">
      <w:pPr>
        <w:pStyle w:val="ListParagraph"/>
        <w:numPr>
          <w:ilvl w:val="2"/>
          <w:numId w:val="15"/>
        </w:numPr>
        <w:spacing w:after="0" w:line="240" w:lineRule="auto"/>
        <w:ind w:left="1800" w:right="300"/>
        <w:rPr>
          <w:lang w:val="en-US"/>
        </w:rPr>
      </w:pPr>
      <w:r>
        <w:rPr>
          <w:lang w:val="en-US"/>
        </w:rPr>
        <w:t>The case when SL HARQ feedback is not used.</w:t>
      </w:r>
    </w:p>
    <w:p w14:paraId="6DD96B70" w14:textId="77777777" w:rsidR="00B9540F" w:rsidRDefault="00B9540F" w:rsidP="00EF4B5D">
      <w:pPr>
        <w:pStyle w:val="ListParagraph"/>
        <w:numPr>
          <w:ilvl w:val="1"/>
          <w:numId w:val="15"/>
        </w:numPr>
        <w:spacing w:before="100" w:after="0" w:line="240" w:lineRule="auto"/>
        <w:ind w:left="1080" w:right="300"/>
        <w:rPr>
          <w:b/>
          <w:bCs/>
          <w:lang w:val="en-US"/>
        </w:rPr>
      </w:pPr>
      <w:r>
        <w:rPr>
          <w:b/>
          <w:bCs/>
          <w:lang w:val="en-US"/>
        </w:rPr>
        <w:t>1.4.2 Codebook design</w:t>
      </w:r>
    </w:p>
    <w:p w14:paraId="48FBA38B" w14:textId="77777777" w:rsidR="00B9540F" w:rsidRDefault="00B9540F" w:rsidP="00EF4B5D">
      <w:pPr>
        <w:pStyle w:val="ListParagraph"/>
        <w:numPr>
          <w:ilvl w:val="2"/>
          <w:numId w:val="15"/>
        </w:numPr>
        <w:spacing w:after="0" w:line="240" w:lineRule="auto"/>
        <w:ind w:left="1800" w:right="300"/>
        <w:rPr>
          <w:lang w:val="en-US"/>
        </w:rPr>
      </w:pPr>
      <w:r>
        <w:rPr>
          <w:lang w:val="en-US"/>
        </w:rPr>
        <w:t>Type-1 codebook.</w:t>
      </w:r>
    </w:p>
    <w:p w14:paraId="78BDEF13" w14:textId="77777777" w:rsidR="00B9540F" w:rsidRDefault="00B9540F" w:rsidP="00EF4B5D">
      <w:pPr>
        <w:pStyle w:val="ListParagraph"/>
        <w:numPr>
          <w:ilvl w:val="2"/>
          <w:numId w:val="15"/>
        </w:numPr>
        <w:spacing w:after="0" w:line="240" w:lineRule="auto"/>
        <w:ind w:left="1800" w:right="300"/>
        <w:rPr>
          <w:lang w:val="en-US"/>
        </w:rPr>
      </w:pPr>
      <w:r>
        <w:rPr>
          <w:lang w:val="en-US"/>
        </w:rPr>
        <w:t>Type-2 codebook.</w:t>
      </w:r>
    </w:p>
    <w:p w14:paraId="2989951A" w14:textId="77777777" w:rsidR="00B9540F" w:rsidRDefault="00B9540F" w:rsidP="00EF4B5D">
      <w:pPr>
        <w:pStyle w:val="ListParagraph"/>
        <w:numPr>
          <w:ilvl w:val="2"/>
          <w:numId w:val="15"/>
        </w:numPr>
        <w:spacing w:after="100" w:line="240" w:lineRule="auto"/>
        <w:ind w:left="1800" w:right="300"/>
        <w:rPr>
          <w:lang w:val="en-US"/>
        </w:rPr>
      </w:pPr>
      <w:r>
        <w:rPr>
          <w:lang w:val="en-US"/>
        </w:rPr>
        <w:t>Whether to have joint or independent configuration for DL HARQ-ACK and SL HARQ-ACK reporting.</w:t>
      </w:r>
    </w:p>
    <w:p w14:paraId="1E29E130" w14:textId="77777777" w:rsidR="00B9540F" w:rsidRDefault="00B9540F" w:rsidP="00B9540F">
      <w:pPr>
        <w:pStyle w:val="ListParagraph"/>
        <w:spacing w:after="150"/>
        <w:ind w:left="1800" w:right="300"/>
        <w:rPr>
          <w:lang w:val="en-US"/>
        </w:rPr>
      </w:pPr>
      <w:r>
        <w:rPr>
          <w:lang w:val="en-US"/>
        </w:rPr>
        <w:t>[</w:t>
      </w:r>
      <w:r>
        <w:rPr>
          <w:u w:val="single"/>
          <w:lang w:val="en-US"/>
        </w:rPr>
        <w:t>Note from the feature lead</w:t>
      </w:r>
      <w:r>
        <w:rPr>
          <w:lang w:val="en-US"/>
        </w:rPr>
        <w:t>: this is an important topic. However, given the complexity of the topic, the limitations of e-mail discussion and the gaps in the different proposals, it is not selected as a candidate for e-mail discussion during the e-meeting corresponding to RAN1#100]</w:t>
      </w:r>
    </w:p>
    <w:p w14:paraId="47B0A0A4" w14:textId="77777777" w:rsidR="00B9540F" w:rsidRDefault="00B9540F" w:rsidP="00EF4B5D">
      <w:pPr>
        <w:pStyle w:val="ListParagraph"/>
        <w:numPr>
          <w:ilvl w:val="1"/>
          <w:numId w:val="15"/>
        </w:numPr>
        <w:spacing w:before="100" w:after="0" w:line="240" w:lineRule="auto"/>
        <w:ind w:left="1080" w:right="300"/>
        <w:rPr>
          <w:b/>
          <w:bCs/>
          <w:lang w:val="en-US"/>
        </w:rPr>
      </w:pPr>
      <w:r>
        <w:rPr>
          <w:b/>
          <w:bCs/>
          <w:lang w:val="en-US"/>
        </w:rPr>
        <w:t>1.4.3 Collisions with Uu HARQ-ACK reports</w:t>
      </w:r>
    </w:p>
    <w:p w14:paraId="5E0F81E0" w14:textId="77777777" w:rsidR="00B9540F" w:rsidRPr="0003138A" w:rsidRDefault="00B9540F" w:rsidP="00EF4B5D">
      <w:pPr>
        <w:pStyle w:val="ListParagraph"/>
        <w:numPr>
          <w:ilvl w:val="2"/>
          <w:numId w:val="15"/>
        </w:numPr>
        <w:spacing w:after="100" w:line="240" w:lineRule="auto"/>
        <w:ind w:left="1800" w:right="300"/>
        <w:rPr>
          <w:lang w:val="en-US"/>
        </w:rPr>
      </w:pPr>
      <w:r>
        <w:rPr>
          <w:lang w:val="en-US"/>
        </w:rPr>
        <w:t>Rule for dropping/</w:t>
      </w:r>
      <w:r w:rsidRPr="0003138A">
        <w:rPr>
          <w:lang w:val="en-US"/>
        </w:rPr>
        <w:t>prioritization,</w:t>
      </w:r>
      <w:r w:rsidRPr="00153124">
        <w:rPr>
          <w:lang w:val="en-US"/>
        </w:rPr>
        <w:t xml:space="preserve"> including potential RRC parameters</w:t>
      </w:r>
    </w:p>
    <w:p w14:paraId="13F66776" w14:textId="77777777" w:rsidR="00B9540F" w:rsidRPr="0003138A" w:rsidRDefault="00B9540F" w:rsidP="00EF4B5D">
      <w:pPr>
        <w:pStyle w:val="ListParagraph"/>
        <w:numPr>
          <w:ilvl w:val="1"/>
          <w:numId w:val="15"/>
        </w:numPr>
        <w:spacing w:before="100" w:after="0" w:line="240" w:lineRule="auto"/>
        <w:ind w:left="1080" w:right="300"/>
        <w:rPr>
          <w:b/>
          <w:bCs/>
          <w:lang w:val="en-US"/>
        </w:rPr>
      </w:pPr>
      <w:r w:rsidRPr="0003138A">
        <w:rPr>
          <w:b/>
          <w:bCs/>
          <w:lang w:val="en-US"/>
        </w:rPr>
        <w:t>1.4.4 Details for transmission of HARQ-ACK reports on PUSCH</w:t>
      </w:r>
    </w:p>
    <w:p w14:paraId="6EEBE1B9" w14:textId="77777777" w:rsidR="00B9540F" w:rsidRPr="00153124" w:rsidRDefault="00B9540F" w:rsidP="00EF4B5D">
      <w:pPr>
        <w:pStyle w:val="ListParagraph"/>
        <w:numPr>
          <w:ilvl w:val="2"/>
          <w:numId w:val="15"/>
        </w:numPr>
        <w:spacing w:after="100" w:line="240" w:lineRule="auto"/>
        <w:ind w:left="1800" w:right="300"/>
        <w:rPr>
          <w:lang w:val="en-US"/>
        </w:rPr>
      </w:pPr>
      <w:r w:rsidRPr="00153124">
        <w:rPr>
          <w:lang w:val="en-US"/>
        </w:rPr>
        <w:t>Including potential RRC parameters</w:t>
      </w:r>
    </w:p>
    <w:p w14:paraId="6A3F5776" w14:textId="77777777" w:rsidR="00B9540F" w:rsidRPr="00153124" w:rsidRDefault="00B9540F" w:rsidP="00EF4B5D">
      <w:pPr>
        <w:pStyle w:val="ListParagraph"/>
        <w:numPr>
          <w:ilvl w:val="1"/>
          <w:numId w:val="15"/>
        </w:numPr>
        <w:spacing w:before="100" w:after="0" w:line="240" w:lineRule="auto"/>
        <w:ind w:left="1080" w:right="300"/>
        <w:rPr>
          <w:b/>
          <w:bCs/>
          <w:lang w:val="en-US"/>
        </w:rPr>
      </w:pPr>
      <w:r w:rsidRPr="00153124">
        <w:rPr>
          <w:b/>
          <w:bCs/>
          <w:lang w:val="en-US"/>
        </w:rPr>
        <w:t>1.4.5 Early termination</w:t>
      </w:r>
    </w:p>
    <w:p w14:paraId="1B0B4161" w14:textId="77777777" w:rsidR="00B9540F" w:rsidRPr="00153124" w:rsidRDefault="00B9540F" w:rsidP="00EF4B5D">
      <w:pPr>
        <w:pStyle w:val="ListParagraph"/>
        <w:numPr>
          <w:ilvl w:val="2"/>
          <w:numId w:val="15"/>
        </w:numPr>
        <w:spacing w:after="0" w:line="240" w:lineRule="auto"/>
        <w:ind w:left="1800" w:right="300"/>
        <w:rPr>
          <w:lang w:val="en-US"/>
        </w:rPr>
      </w:pPr>
      <w:r w:rsidRPr="00153124">
        <w:rPr>
          <w:lang w:val="en-US"/>
        </w:rPr>
        <w:t>Dynamic grant</w:t>
      </w:r>
    </w:p>
    <w:p w14:paraId="19D7F537" w14:textId="77777777" w:rsidR="00B9540F" w:rsidRPr="00153124" w:rsidRDefault="00B9540F" w:rsidP="00EF4B5D">
      <w:pPr>
        <w:pStyle w:val="ListParagraph"/>
        <w:numPr>
          <w:ilvl w:val="2"/>
          <w:numId w:val="15"/>
        </w:numPr>
        <w:spacing w:after="100" w:line="240" w:lineRule="auto"/>
        <w:ind w:left="1800" w:right="300"/>
        <w:rPr>
          <w:lang w:val="en-US"/>
        </w:rPr>
      </w:pPr>
      <w:r w:rsidRPr="00153124">
        <w:rPr>
          <w:lang w:val="en-US"/>
        </w:rPr>
        <w:t>Configured grant</w:t>
      </w:r>
    </w:p>
    <w:p w14:paraId="0CE703B1" w14:textId="77777777" w:rsidR="00B9540F" w:rsidRDefault="00B9540F" w:rsidP="00EF4B5D">
      <w:pPr>
        <w:pStyle w:val="ListParagraph"/>
        <w:numPr>
          <w:ilvl w:val="1"/>
          <w:numId w:val="15"/>
        </w:numPr>
        <w:spacing w:before="100" w:after="0" w:line="240" w:lineRule="auto"/>
        <w:ind w:left="1080" w:right="300"/>
        <w:rPr>
          <w:b/>
          <w:bCs/>
          <w:lang w:val="en-US"/>
        </w:rPr>
      </w:pPr>
      <w:r>
        <w:rPr>
          <w:b/>
          <w:bCs/>
          <w:lang w:val="en-US"/>
        </w:rPr>
        <w:lastRenderedPageBreak/>
        <w:t>1.4.6 Number of PUCCH resources for dynamic grant</w:t>
      </w:r>
    </w:p>
    <w:p w14:paraId="1585666F" w14:textId="77777777" w:rsidR="00B9540F" w:rsidRDefault="00B9540F" w:rsidP="00EF4B5D">
      <w:pPr>
        <w:pStyle w:val="ListParagraph"/>
        <w:numPr>
          <w:ilvl w:val="2"/>
          <w:numId w:val="15"/>
        </w:numPr>
        <w:spacing w:after="100" w:line="240" w:lineRule="auto"/>
        <w:ind w:left="1800" w:right="150"/>
        <w:rPr>
          <w:lang w:val="en-US"/>
        </w:rPr>
      </w:pPr>
      <w:r>
        <w:rPr>
          <w:lang w:val="en-US"/>
        </w:rPr>
        <w:t>For the case when DCI schedules more than one resource for a TB</w:t>
      </w:r>
    </w:p>
    <w:p w14:paraId="3C864D11" w14:textId="77777777" w:rsidR="009576C2" w:rsidRDefault="009576C2" w:rsidP="00153124">
      <w:pPr>
        <w:pStyle w:val="Heading2"/>
        <w:ind w:left="0" w:firstLine="0"/>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23EC5" w14:textId="77777777" w:rsidR="00EB27A8" w:rsidRDefault="00EB27A8">
      <w:r>
        <w:separator/>
      </w:r>
    </w:p>
  </w:endnote>
  <w:endnote w:type="continuationSeparator" w:id="0">
    <w:p w14:paraId="794C9DBC" w14:textId="77777777" w:rsidR="00EB27A8" w:rsidRDefault="00EB27A8">
      <w:r>
        <w:continuationSeparator/>
      </w:r>
    </w:p>
  </w:endnote>
  <w:endnote w:type="continuationNotice" w:id="1">
    <w:p w14:paraId="06EF32C4" w14:textId="77777777" w:rsidR="00EB27A8" w:rsidRDefault="00EB2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6C956" w14:textId="77777777" w:rsidR="00EB27A8" w:rsidRDefault="00EB27A8">
      <w:r>
        <w:separator/>
      </w:r>
    </w:p>
  </w:footnote>
  <w:footnote w:type="continuationSeparator" w:id="0">
    <w:p w14:paraId="0121E671" w14:textId="77777777" w:rsidR="00EB27A8" w:rsidRDefault="00EB27A8">
      <w:r>
        <w:continuationSeparator/>
      </w:r>
    </w:p>
  </w:footnote>
  <w:footnote w:type="continuationNotice" w:id="1">
    <w:p w14:paraId="5F28BF0B" w14:textId="77777777" w:rsidR="00EB27A8" w:rsidRDefault="00EB27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2A21D0"/>
    <w:multiLevelType w:val="hybridMultilevel"/>
    <w:tmpl w:val="DF44CFC8"/>
    <w:lvl w:ilvl="0" w:tplc="040B0001">
      <w:start w:val="1"/>
      <w:numFmt w:val="bullet"/>
      <w:lvlText w:val=""/>
      <w:lvlJc w:val="left"/>
      <w:pPr>
        <w:ind w:left="870" w:hanging="360"/>
      </w:pPr>
      <w:rPr>
        <w:rFonts w:ascii="Symbol" w:hAnsi="Symbol" w:hint="default"/>
      </w:rPr>
    </w:lvl>
    <w:lvl w:ilvl="1" w:tplc="040B0003">
      <w:start w:val="1"/>
      <w:numFmt w:val="bullet"/>
      <w:lvlText w:val="o"/>
      <w:lvlJc w:val="left"/>
      <w:pPr>
        <w:ind w:left="1590" w:hanging="360"/>
      </w:pPr>
      <w:rPr>
        <w:rFonts w:ascii="Courier New" w:hAnsi="Courier New" w:cs="Courier New" w:hint="default"/>
      </w:rPr>
    </w:lvl>
    <w:lvl w:ilvl="2" w:tplc="040B0005">
      <w:start w:val="1"/>
      <w:numFmt w:val="bullet"/>
      <w:lvlText w:val=""/>
      <w:lvlJc w:val="left"/>
      <w:pPr>
        <w:ind w:left="2310" w:hanging="360"/>
      </w:pPr>
      <w:rPr>
        <w:rFonts w:ascii="Wingdings" w:hAnsi="Wingdings" w:hint="default"/>
      </w:rPr>
    </w:lvl>
    <w:lvl w:ilvl="3" w:tplc="040B0001">
      <w:start w:val="1"/>
      <w:numFmt w:val="bullet"/>
      <w:lvlText w:val=""/>
      <w:lvlJc w:val="left"/>
      <w:pPr>
        <w:ind w:left="3030" w:hanging="360"/>
      </w:pPr>
      <w:rPr>
        <w:rFonts w:ascii="Symbol" w:hAnsi="Symbol" w:hint="default"/>
      </w:rPr>
    </w:lvl>
    <w:lvl w:ilvl="4" w:tplc="040B0003">
      <w:start w:val="1"/>
      <w:numFmt w:val="bullet"/>
      <w:lvlText w:val="o"/>
      <w:lvlJc w:val="left"/>
      <w:pPr>
        <w:ind w:left="3750" w:hanging="360"/>
      </w:pPr>
      <w:rPr>
        <w:rFonts w:ascii="Courier New" w:hAnsi="Courier New" w:cs="Courier New" w:hint="default"/>
      </w:rPr>
    </w:lvl>
    <w:lvl w:ilvl="5" w:tplc="040B0005">
      <w:start w:val="1"/>
      <w:numFmt w:val="bullet"/>
      <w:lvlText w:val=""/>
      <w:lvlJc w:val="left"/>
      <w:pPr>
        <w:ind w:left="4470" w:hanging="360"/>
      </w:pPr>
      <w:rPr>
        <w:rFonts w:ascii="Wingdings" w:hAnsi="Wingdings" w:hint="default"/>
      </w:rPr>
    </w:lvl>
    <w:lvl w:ilvl="6" w:tplc="040B0001">
      <w:start w:val="1"/>
      <w:numFmt w:val="bullet"/>
      <w:lvlText w:val=""/>
      <w:lvlJc w:val="left"/>
      <w:pPr>
        <w:ind w:left="5190" w:hanging="360"/>
      </w:pPr>
      <w:rPr>
        <w:rFonts w:ascii="Symbol" w:hAnsi="Symbol" w:hint="default"/>
      </w:rPr>
    </w:lvl>
    <w:lvl w:ilvl="7" w:tplc="040B0003">
      <w:start w:val="1"/>
      <w:numFmt w:val="bullet"/>
      <w:lvlText w:val="o"/>
      <w:lvlJc w:val="left"/>
      <w:pPr>
        <w:ind w:left="5910" w:hanging="360"/>
      </w:pPr>
      <w:rPr>
        <w:rFonts w:ascii="Courier New" w:hAnsi="Courier New" w:cs="Courier New" w:hint="default"/>
      </w:rPr>
    </w:lvl>
    <w:lvl w:ilvl="8" w:tplc="040B0005">
      <w:start w:val="1"/>
      <w:numFmt w:val="bullet"/>
      <w:lvlText w:val=""/>
      <w:lvlJc w:val="left"/>
      <w:pPr>
        <w:ind w:left="663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8011A0"/>
    <w:multiLevelType w:val="hybridMultilevel"/>
    <w:tmpl w:val="22DE00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D58023C"/>
    <w:multiLevelType w:val="hybridMultilevel"/>
    <w:tmpl w:val="C71E4E4A"/>
    <w:lvl w:ilvl="0" w:tplc="A25E5DF4">
      <w:start w:val="1"/>
      <w:numFmt w:val="decimal"/>
      <w:lvlText w:val="%1."/>
      <w:lvlJc w:val="left"/>
      <w:pPr>
        <w:ind w:left="360" w:hanging="360"/>
      </w:pPr>
      <w:rPr>
        <w:rFonts w:eastAsia="DengXian" w:cs="Times New Roman"/>
        <w:color w:val="7030A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DD4BEE"/>
    <w:multiLevelType w:val="hybridMultilevel"/>
    <w:tmpl w:val="AB16D4AA"/>
    <w:lvl w:ilvl="0" w:tplc="8F6A4D38">
      <w:start w:val="2"/>
      <w:numFmt w:val="bullet"/>
      <w:lvlText w:val="-"/>
      <w:lvlJc w:val="left"/>
      <w:pPr>
        <w:ind w:left="760" w:hanging="360"/>
      </w:pPr>
      <w:rPr>
        <w:rFonts w:ascii="Calibri" w:eastAsia="Malgun Gothic" w:hAnsi="Calibri" w:cs="Calibri" w:hint="default"/>
        <w:sz w:val="22"/>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6692A"/>
    <w:multiLevelType w:val="hybridMultilevel"/>
    <w:tmpl w:val="D846806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CFB6BDD"/>
    <w:multiLevelType w:val="hybridMultilevel"/>
    <w:tmpl w:val="2862B6AA"/>
    <w:lvl w:ilvl="0" w:tplc="1BC01288">
      <w:start w:val="1"/>
      <w:numFmt w:val="decimal"/>
      <w:lvlText w:val="%1"/>
      <w:lvlJc w:val="left"/>
      <w:pPr>
        <w:ind w:left="720" w:hanging="360"/>
      </w:pPr>
      <w:rPr>
        <w:rFonts w:cs="Times New Roman"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505750AF"/>
    <w:multiLevelType w:val="multilevel"/>
    <w:tmpl w:val="0F628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130A8C"/>
    <w:multiLevelType w:val="hybridMultilevel"/>
    <w:tmpl w:val="864213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EB2F10"/>
    <w:multiLevelType w:val="multilevel"/>
    <w:tmpl w:val="4E020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A316A9"/>
    <w:multiLevelType w:val="hybridMultilevel"/>
    <w:tmpl w:val="F140A9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E140E1C"/>
    <w:multiLevelType w:val="hybridMultilevel"/>
    <w:tmpl w:val="0F50B0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0"/>
  </w:num>
  <w:num w:numId="4">
    <w:abstractNumId w:val="18"/>
  </w:num>
  <w:num w:numId="5">
    <w:abstractNumId w:val="19"/>
  </w:num>
  <w:num w:numId="6">
    <w:abstractNumId w:val="20"/>
  </w:num>
  <w:num w:numId="7">
    <w:abstractNumId w:val="5"/>
  </w:num>
  <w:num w:numId="8">
    <w:abstractNumId w:val="6"/>
  </w:num>
  <w:num w:numId="9">
    <w:abstractNumId w:val="2"/>
  </w:num>
  <w:num w:numId="10">
    <w:abstractNumId w:val="27"/>
  </w:num>
  <w:num w:numId="11">
    <w:abstractNumId w:val="9"/>
  </w:num>
  <w:num w:numId="12">
    <w:abstractNumId w:val="25"/>
  </w:num>
  <w:num w:numId="13">
    <w:abstractNumId w:val="8"/>
  </w:num>
  <w:num w:numId="14">
    <w:abstractNumId w:val="22"/>
  </w:num>
  <w:num w:numId="15">
    <w:abstractNumId w:val="1"/>
  </w:num>
  <w:num w:numId="16">
    <w:abstractNumId w:val="10"/>
    <w:lvlOverride w:ilvl="0"/>
    <w:lvlOverride w:ilvl="1"/>
    <w:lvlOverride w:ilvl="2"/>
    <w:lvlOverride w:ilvl="3"/>
    <w:lvlOverride w:ilvl="4"/>
    <w:lvlOverride w:ilvl="5"/>
    <w:lvlOverride w:ilvl="6"/>
    <w:lvlOverride w:ilvl="7"/>
    <w:lvlOverride w:ilvl="8"/>
  </w:num>
  <w:num w:numId="17">
    <w:abstractNumId w:val="24"/>
    <w:lvlOverride w:ilvl="0"/>
    <w:lvlOverride w:ilvl="1"/>
    <w:lvlOverride w:ilvl="2"/>
    <w:lvlOverride w:ilvl="3"/>
    <w:lvlOverride w:ilvl="4"/>
    <w:lvlOverride w:ilvl="5"/>
    <w:lvlOverride w:ilvl="6"/>
    <w:lvlOverride w:ilvl="7"/>
    <w:lvlOverride w:ilvl="8"/>
  </w:num>
  <w:num w:numId="18">
    <w:abstractNumId w:val="26"/>
    <w:lvlOverride w:ilvl="0"/>
    <w:lvlOverride w:ilvl="1"/>
    <w:lvlOverride w:ilvl="2"/>
    <w:lvlOverride w:ilvl="3"/>
    <w:lvlOverride w:ilvl="4"/>
    <w:lvlOverride w:ilvl="5"/>
    <w:lvlOverride w:ilvl="6"/>
    <w:lvlOverride w:ilvl="7"/>
    <w:lvlOverride w:ilvl="8"/>
  </w:num>
  <w:num w:numId="19">
    <w:abstractNumId w:val="15"/>
    <w:lvlOverride w:ilvl="0"/>
    <w:lvlOverride w:ilvl="1"/>
    <w:lvlOverride w:ilvl="2"/>
    <w:lvlOverride w:ilvl="3"/>
    <w:lvlOverride w:ilvl="4"/>
    <w:lvlOverride w:ilvl="5"/>
    <w:lvlOverride w:ilvl="6"/>
    <w:lvlOverride w:ilvl="7"/>
    <w:lvlOverride w:ilvl="8"/>
  </w:num>
  <w:num w:numId="20">
    <w:abstractNumId w:val="28"/>
    <w:lvlOverride w:ilvl="0"/>
    <w:lvlOverride w:ilvl="1"/>
    <w:lvlOverride w:ilvl="2"/>
    <w:lvlOverride w:ilvl="3"/>
    <w:lvlOverride w:ilvl="4"/>
    <w:lvlOverride w:ilvl="5"/>
    <w:lvlOverride w:ilvl="6"/>
    <w:lvlOverride w:ilvl="7"/>
    <w:lvlOverride w:ilvl="8"/>
  </w:num>
  <w:num w:numId="21">
    <w:abstractNumId w:val="16"/>
  </w:num>
  <w:num w:numId="22">
    <w:abstractNumId w:val="7"/>
    <w:lvlOverride w:ilvl="0"/>
    <w:lvlOverride w:ilvl="1"/>
    <w:lvlOverride w:ilvl="2"/>
    <w:lvlOverride w:ilvl="3"/>
    <w:lvlOverride w:ilvl="4"/>
    <w:lvlOverride w:ilvl="5"/>
    <w:lvlOverride w:ilvl="6"/>
    <w:lvlOverride w:ilvl="7"/>
    <w:lvlOverride w:ilvl="8"/>
  </w:num>
  <w:num w:numId="23">
    <w:abstractNumId w:val="12"/>
    <w:lvlOverride w:ilvl="0"/>
    <w:lvlOverride w:ilvl="1"/>
    <w:lvlOverride w:ilvl="2"/>
    <w:lvlOverride w:ilvl="3"/>
    <w:lvlOverride w:ilvl="4"/>
    <w:lvlOverride w:ilvl="5"/>
    <w:lvlOverride w:ilvl="6"/>
    <w:lvlOverride w:ilvl="7"/>
    <w:lvlOverride w:ilvl="8"/>
  </w:num>
  <w:num w:numId="24">
    <w:abstractNumId w:val="23"/>
    <w:lvlOverride w:ilvl="0"/>
    <w:lvlOverride w:ilvl="1"/>
    <w:lvlOverride w:ilvl="2"/>
    <w:lvlOverride w:ilvl="3"/>
    <w:lvlOverride w:ilvl="4"/>
    <w:lvlOverride w:ilvl="5"/>
    <w:lvlOverride w:ilvl="6"/>
    <w:lvlOverride w:ilvl="7"/>
    <w:lvlOverride w:ilvl="8"/>
  </w:num>
  <w:num w:numId="25">
    <w:abstractNumId w:val="3"/>
    <w:lvlOverride w:ilvl="0"/>
    <w:lvlOverride w:ilvl="1"/>
    <w:lvlOverride w:ilvl="2"/>
    <w:lvlOverride w:ilvl="3"/>
    <w:lvlOverride w:ilvl="4"/>
    <w:lvlOverride w:ilvl="5"/>
    <w:lvlOverride w:ilvl="6"/>
    <w:lvlOverride w:ilvl="7"/>
    <w:lvlOverride w:ilvl="8"/>
  </w:num>
  <w:num w:numId="26">
    <w:abstractNumId w:val="21"/>
    <w:lvlOverride w:ilvl="0"/>
    <w:lvlOverride w:ilvl="1"/>
    <w:lvlOverride w:ilvl="2"/>
    <w:lvlOverride w:ilvl="3"/>
    <w:lvlOverride w:ilvl="4"/>
    <w:lvlOverride w:ilvl="5"/>
    <w:lvlOverride w:ilvl="6"/>
    <w:lvlOverride w:ilvl="7"/>
    <w:lvlOverride w:ilvl="8"/>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lvlOverride w:ilvl="1"/>
    <w:lvlOverride w:ilvl="2"/>
    <w:lvlOverride w:ilvl="3"/>
    <w:lvlOverride w:ilvl="4"/>
    <w:lvlOverride w:ilvl="5"/>
    <w:lvlOverride w:ilvl="6"/>
    <w:lvlOverride w:ilvl="7"/>
    <w:lvlOverride w:ilvl="8"/>
  </w:num>
  <w:num w:numId="29">
    <w:abstractNumId w:val="17"/>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24D2"/>
    <w:rsid w:val="0001309C"/>
    <w:rsid w:val="00013DDA"/>
    <w:rsid w:val="00015078"/>
    <w:rsid w:val="0001566E"/>
    <w:rsid w:val="00015794"/>
    <w:rsid w:val="00015C52"/>
    <w:rsid w:val="00015D15"/>
    <w:rsid w:val="00016D1A"/>
    <w:rsid w:val="00017584"/>
    <w:rsid w:val="00017DFA"/>
    <w:rsid w:val="00017E45"/>
    <w:rsid w:val="000200E6"/>
    <w:rsid w:val="0002063E"/>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38A"/>
    <w:rsid w:val="00031FDC"/>
    <w:rsid w:val="000325B8"/>
    <w:rsid w:val="00032E7F"/>
    <w:rsid w:val="00034C15"/>
    <w:rsid w:val="00034C60"/>
    <w:rsid w:val="00035C2A"/>
    <w:rsid w:val="0003677C"/>
    <w:rsid w:val="00036BA1"/>
    <w:rsid w:val="0003737A"/>
    <w:rsid w:val="00037635"/>
    <w:rsid w:val="00037EF7"/>
    <w:rsid w:val="00037F0C"/>
    <w:rsid w:val="000402F9"/>
    <w:rsid w:val="000412B2"/>
    <w:rsid w:val="00041707"/>
    <w:rsid w:val="000422E2"/>
    <w:rsid w:val="0004243C"/>
    <w:rsid w:val="00042F22"/>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207D"/>
    <w:rsid w:val="00072DBD"/>
    <w:rsid w:val="00073344"/>
    <w:rsid w:val="00073767"/>
    <w:rsid w:val="00073B1E"/>
    <w:rsid w:val="00073FE3"/>
    <w:rsid w:val="00076B98"/>
    <w:rsid w:val="000774F2"/>
    <w:rsid w:val="000778B8"/>
    <w:rsid w:val="00077D54"/>
    <w:rsid w:val="00077E5F"/>
    <w:rsid w:val="0008001E"/>
    <w:rsid w:val="000801F9"/>
    <w:rsid w:val="0008036A"/>
    <w:rsid w:val="0008194F"/>
    <w:rsid w:val="00081AE6"/>
    <w:rsid w:val="0008272E"/>
    <w:rsid w:val="00083029"/>
    <w:rsid w:val="000832F1"/>
    <w:rsid w:val="000834EA"/>
    <w:rsid w:val="00083527"/>
    <w:rsid w:val="00083F56"/>
    <w:rsid w:val="00084A48"/>
    <w:rsid w:val="00084B80"/>
    <w:rsid w:val="00084DEC"/>
    <w:rsid w:val="0008503C"/>
    <w:rsid w:val="000855EB"/>
    <w:rsid w:val="00085B52"/>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04B"/>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1005FF"/>
    <w:rsid w:val="00101710"/>
    <w:rsid w:val="00101FE7"/>
    <w:rsid w:val="00102B43"/>
    <w:rsid w:val="00102DA9"/>
    <w:rsid w:val="0010396D"/>
    <w:rsid w:val="00103C12"/>
    <w:rsid w:val="00103E80"/>
    <w:rsid w:val="0010435E"/>
    <w:rsid w:val="0010449E"/>
    <w:rsid w:val="001056C0"/>
    <w:rsid w:val="00105F57"/>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1EAA"/>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124"/>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5224"/>
    <w:rsid w:val="00185AA8"/>
    <w:rsid w:val="00185E17"/>
    <w:rsid w:val="001866B4"/>
    <w:rsid w:val="00186B7F"/>
    <w:rsid w:val="00186F70"/>
    <w:rsid w:val="001870E8"/>
    <w:rsid w:val="001874D1"/>
    <w:rsid w:val="00190A4D"/>
    <w:rsid w:val="00190AC1"/>
    <w:rsid w:val="00191C53"/>
    <w:rsid w:val="00192C82"/>
    <w:rsid w:val="0019341A"/>
    <w:rsid w:val="0019503B"/>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97C"/>
    <w:rsid w:val="001A6CBA"/>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8C6"/>
    <w:rsid w:val="001C3D2A"/>
    <w:rsid w:val="001C5278"/>
    <w:rsid w:val="001C64F0"/>
    <w:rsid w:val="001C6AE3"/>
    <w:rsid w:val="001C6C33"/>
    <w:rsid w:val="001C6FD6"/>
    <w:rsid w:val="001C76A4"/>
    <w:rsid w:val="001C79FD"/>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EEC"/>
    <w:rsid w:val="001E314D"/>
    <w:rsid w:val="001E3B8D"/>
    <w:rsid w:val="001E3C5C"/>
    <w:rsid w:val="001E4D4D"/>
    <w:rsid w:val="001E58E2"/>
    <w:rsid w:val="001E5E68"/>
    <w:rsid w:val="001E6BDD"/>
    <w:rsid w:val="001E6E8B"/>
    <w:rsid w:val="001E731E"/>
    <w:rsid w:val="001E76C8"/>
    <w:rsid w:val="001E786A"/>
    <w:rsid w:val="001E7AED"/>
    <w:rsid w:val="001E7CD6"/>
    <w:rsid w:val="001E7F30"/>
    <w:rsid w:val="001F01AB"/>
    <w:rsid w:val="001F049C"/>
    <w:rsid w:val="001F0C31"/>
    <w:rsid w:val="001F0CBA"/>
    <w:rsid w:val="001F13AF"/>
    <w:rsid w:val="001F179D"/>
    <w:rsid w:val="001F2537"/>
    <w:rsid w:val="001F28F7"/>
    <w:rsid w:val="001F3916"/>
    <w:rsid w:val="001F4E68"/>
    <w:rsid w:val="001F5159"/>
    <w:rsid w:val="001F54C5"/>
    <w:rsid w:val="001F5BE8"/>
    <w:rsid w:val="001F5F68"/>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D50"/>
    <w:rsid w:val="00212E13"/>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495E"/>
    <w:rsid w:val="002252C3"/>
    <w:rsid w:val="00225BE0"/>
    <w:rsid w:val="00225C54"/>
    <w:rsid w:val="00226364"/>
    <w:rsid w:val="00226709"/>
    <w:rsid w:val="00227A06"/>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D89"/>
    <w:rsid w:val="002529B6"/>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223B"/>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5BE0"/>
    <w:rsid w:val="00276AB4"/>
    <w:rsid w:val="002805F5"/>
    <w:rsid w:val="00280751"/>
    <w:rsid w:val="00280DC5"/>
    <w:rsid w:val="002815C6"/>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8DC"/>
    <w:rsid w:val="00292532"/>
    <w:rsid w:val="002928BB"/>
    <w:rsid w:val="00292C72"/>
    <w:rsid w:val="00292EB7"/>
    <w:rsid w:val="00293E8B"/>
    <w:rsid w:val="00295139"/>
    <w:rsid w:val="002959D5"/>
    <w:rsid w:val="00295B63"/>
    <w:rsid w:val="00296227"/>
    <w:rsid w:val="00296F44"/>
    <w:rsid w:val="0029777D"/>
    <w:rsid w:val="002A00C1"/>
    <w:rsid w:val="002A055E"/>
    <w:rsid w:val="002A1D4E"/>
    <w:rsid w:val="002A1E16"/>
    <w:rsid w:val="002A2479"/>
    <w:rsid w:val="002A2869"/>
    <w:rsid w:val="002A2AFA"/>
    <w:rsid w:val="002A2F09"/>
    <w:rsid w:val="002A34B9"/>
    <w:rsid w:val="002A485A"/>
    <w:rsid w:val="002A49E7"/>
    <w:rsid w:val="002A53DE"/>
    <w:rsid w:val="002A5EA1"/>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0FB8"/>
    <w:rsid w:val="002D1A50"/>
    <w:rsid w:val="002D204A"/>
    <w:rsid w:val="002D2B7D"/>
    <w:rsid w:val="002D343D"/>
    <w:rsid w:val="002D34B2"/>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15CE"/>
    <w:rsid w:val="002F18D9"/>
    <w:rsid w:val="002F1A2F"/>
    <w:rsid w:val="002F234A"/>
    <w:rsid w:val="002F2771"/>
    <w:rsid w:val="002F29F1"/>
    <w:rsid w:val="002F37A9"/>
    <w:rsid w:val="002F3824"/>
    <w:rsid w:val="002F3F80"/>
    <w:rsid w:val="002F5677"/>
    <w:rsid w:val="002F6330"/>
    <w:rsid w:val="002F6423"/>
    <w:rsid w:val="002F69B9"/>
    <w:rsid w:val="00300A7C"/>
    <w:rsid w:val="0030194B"/>
    <w:rsid w:val="00301CE6"/>
    <w:rsid w:val="0030256B"/>
    <w:rsid w:val="00303024"/>
    <w:rsid w:val="00303685"/>
    <w:rsid w:val="00304EB7"/>
    <w:rsid w:val="0030501F"/>
    <w:rsid w:val="00305432"/>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B14"/>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4579"/>
    <w:rsid w:val="00334F3E"/>
    <w:rsid w:val="00335373"/>
    <w:rsid w:val="00335858"/>
    <w:rsid w:val="00335958"/>
    <w:rsid w:val="00336005"/>
    <w:rsid w:val="003367AC"/>
    <w:rsid w:val="00336BDA"/>
    <w:rsid w:val="0033704E"/>
    <w:rsid w:val="003371E9"/>
    <w:rsid w:val="003373C6"/>
    <w:rsid w:val="003377BB"/>
    <w:rsid w:val="0034078F"/>
    <w:rsid w:val="00340849"/>
    <w:rsid w:val="00342BD7"/>
    <w:rsid w:val="003439F0"/>
    <w:rsid w:val="0034454F"/>
    <w:rsid w:val="00344908"/>
    <w:rsid w:val="00345209"/>
    <w:rsid w:val="00346048"/>
    <w:rsid w:val="003465A0"/>
    <w:rsid w:val="00346B55"/>
    <w:rsid w:val="00346DB5"/>
    <w:rsid w:val="00346E42"/>
    <w:rsid w:val="003477B1"/>
    <w:rsid w:val="00347B64"/>
    <w:rsid w:val="00347CAE"/>
    <w:rsid w:val="00347EBE"/>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1C50"/>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1364"/>
    <w:rsid w:val="003917E1"/>
    <w:rsid w:val="00392DA7"/>
    <w:rsid w:val="00392F80"/>
    <w:rsid w:val="003939FF"/>
    <w:rsid w:val="003943A0"/>
    <w:rsid w:val="0039525C"/>
    <w:rsid w:val="00395396"/>
    <w:rsid w:val="00395685"/>
    <w:rsid w:val="00396D32"/>
    <w:rsid w:val="003A02A1"/>
    <w:rsid w:val="003A0765"/>
    <w:rsid w:val="003A0ADB"/>
    <w:rsid w:val="003A0BA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64BB"/>
    <w:rsid w:val="003B6D04"/>
    <w:rsid w:val="003B75A2"/>
    <w:rsid w:val="003B7FE5"/>
    <w:rsid w:val="003C11C8"/>
    <w:rsid w:val="003C2126"/>
    <w:rsid w:val="003C2332"/>
    <w:rsid w:val="003C26A6"/>
    <w:rsid w:val="003C2702"/>
    <w:rsid w:val="003C294B"/>
    <w:rsid w:val="003C2A27"/>
    <w:rsid w:val="003C3095"/>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7C45"/>
    <w:rsid w:val="003D7D44"/>
    <w:rsid w:val="003E0007"/>
    <w:rsid w:val="003E00E9"/>
    <w:rsid w:val="003E100B"/>
    <w:rsid w:val="003E15FA"/>
    <w:rsid w:val="003E2598"/>
    <w:rsid w:val="003E2AE8"/>
    <w:rsid w:val="003E3123"/>
    <w:rsid w:val="003E3937"/>
    <w:rsid w:val="003E3AB5"/>
    <w:rsid w:val="003E3B4F"/>
    <w:rsid w:val="003E3C3E"/>
    <w:rsid w:val="003E466D"/>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F7"/>
    <w:rsid w:val="003F4C90"/>
    <w:rsid w:val="003F57CA"/>
    <w:rsid w:val="003F65BE"/>
    <w:rsid w:val="003F6704"/>
    <w:rsid w:val="003F6743"/>
    <w:rsid w:val="003F6BBE"/>
    <w:rsid w:val="003F6D7A"/>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42B"/>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C28"/>
    <w:rsid w:val="00421105"/>
    <w:rsid w:val="0042225E"/>
    <w:rsid w:val="0042244A"/>
    <w:rsid w:val="00422AA4"/>
    <w:rsid w:val="00422D91"/>
    <w:rsid w:val="004242F4"/>
    <w:rsid w:val="00425579"/>
    <w:rsid w:val="00425644"/>
    <w:rsid w:val="00426F5F"/>
    <w:rsid w:val="00427161"/>
    <w:rsid w:val="004271FC"/>
    <w:rsid w:val="00427248"/>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1A07"/>
    <w:rsid w:val="004B1C3F"/>
    <w:rsid w:val="004B1FDB"/>
    <w:rsid w:val="004B218C"/>
    <w:rsid w:val="004B46E3"/>
    <w:rsid w:val="004B4AFC"/>
    <w:rsid w:val="004B519A"/>
    <w:rsid w:val="004B57A6"/>
    <w:rsid w:val="004B6411"/>
    <w:rsid w:val="004B68D3"/>
    <w:rsid w:val="004B6BE6"/>
    <w:rsid w:val="004B6F6A"/>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745A"/>
    <w:rsid w:val="0054752C"/>
    <w:rsid w:val="005475BD"/>
    <w:rsid w:val="00547C6C"/>
    <w:rsid w:val="005535D5"/>
    <w:rsid w:val="0055379C"/>
    <w:rsid w:val="00553830"/>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1FD4"/>
    <w:rsid w:val="00582809"/>
    <w:rsid w:val="00582CB1"/>
    <w:rsid w:val="00583093"/>
    <w:rsid w:val="005838AE"/>
    <w:rsid w:val="00583D53"/>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4ED8"/>
    <w:rsid w:val="005A533C"/>
    <w:rsid w:val="005A5643"/>
    <w:rsid w:val="005A5761"/>
    <w:rsid w:val="005A5E38"/>
    <w:rsid w:val="005A6048"/>
    <w:rsid w:val="005A662D"/>
    <w:rsid w:val="005A662E"/>
    <w:rsid w:val="005A6CF8"/>
    <w:rsid w:val="005A771B"/>
    <w:rsid w:val="005A7FCA"/>
    <w:rsid w:val="005B0427"/>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3DA8"/>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B81"/>
    <w:rsid w:val="005E5DA0"/>
    <w:rsid w:val="005E69FE"/>
    <w:rsid w:val="005E6EFA"/>
    <w:rsid w:val="005E749A"/>
    <w:rsid w:val="005F057F"/>
    <w:rsid w:val="005F0CDB"/>
    <w:rsid w:val="005F0E26"/>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24E"/>
    <w:rsid w:val="006462E9"/>
    <w:rsid w:val="00647660"/>
    <w:rsid w:val="006478F4"/>
    <w:rsid w:val="00647E61"/>
    <w:rsid w:val="00650AB9"/>
    <w:rsid w:val="00650C78"/>
    <w:rsid w:val="006517C8"/>
    <w:rsid w:val="0065197A"/>
    <w:rsid w:val="00652E65"/>
    <w:rsid w:val="00653149"/>
    <w:rsid w:val="00653CDD"/>
    <w:rsid w:val="00653DA1"/>
    <w:rsid w:val="00654399"/>
    <w:rsid w:val="00654D9E"/>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5B"/>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4CD"/>
    <w:rsid w:val="006A3BDD"/>
    <w:rsid w:val="006A3E74"/>
    <w:rsid w:val="006A46FB"/>
    <w:rsid w:val="006A5E28"/>
    <w:rsid w:val="006A6785"/>
    <w:rsid w:val="006A697B"/>
    <w:rsid w:val="006A7AFF"/>
    <w:rsid w:val="006A7D7C"/>
    <w:rsid w:val="006B0528"/>
    <w:rsid w:val="006B1816"/>
    <w:rsid w:val="006B2099"/>
    <w:rsid w:val="006B24EB"/>
    <w:rsid w:val="006B2701"/>
    <w:rsid w:val="006B323B"/>
    <w:rsid w:val="006B50CF"/>
    <w:rsid w:val="006B52EA"/>
    <w:rsid w:val="006B58AC"/>
    <w:rsid w:val="006B7788"/>
    <w:rsid w:val="006B7D8F"/>
    <w:rsid w:val="006C0253"/>
    <w:rsid w:val="006C03B8"/>
    <w:rsid w:val="006C03D2"/>
    <w:rsid w:val="006C1083"/>
    <w:rsid w:val="006C1E70"/>
    <w:rsid w:val="006C3461"/>
    <w:rsid w:val="006C35BE"/>
    <w:rsid w:val="006C3884"/>
    <w:rsid w:val="006C406E"/>
    <w:rsid w:val="006C5C02"/>
    <w:rsid w:val="006C5EC9"/>
    <w:rsid w:val="006C6059"/>
    <w:rsid w:val="006C6119"/>
    <w:rsid w:val="006C7522"/>
    <w:rsid w:val="006C7631"/>
    <w:rsid w:val="006C799B"/>
    <w:rsid w:val="006D089F"/>
    <w:rsid w:val="006D0CFB"/>
    <w:rsid w:val="006D115F"/>
    <w:rsid w:val="006D1E25"/>
    <w:rsid w:val="006D201B"/>
    <w:rsid w:val="006D22D9"/>
    <w:rsid w:val="006D2BDA"/>
    <w:rsid w:val="006D523D"/>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5A2C"/>
    <w:rsid w:val="00715B9A"/>
    <w:rsid w:val="00715BED"/>
    <w:rsid w:val="00717171"/>
    <w:rsid w:val="007172F2"/>
    <w:rsid w:val="00717925"/>
    <w:rsid w:val="007179F1"/>
    <w:rsid w:val="00717E5E"/>
    <w:rsid w:val="00721AD4"/>
    <w:rsid w:val="007224D4"/>
    <w:rsid w:val="007231E5"/>
    <w:rsid w:val="0072329C"/>
    <w:rsid w:val="007239E7"/>
    <w:rsid w:val="00723F38"/>
    <w:rsid w:val="00724090"/>
    <w:rsid w:val="007248E1"/>
    <w:rsid w:val="00725368"/>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45C"/>
    <w:rsid w:val="00753CAA"/>
    <w:rsid w:val="00753FDC"/>
    <w:rsid w:val="00754285"/>
    <w:rsid w:val="007542B1"/>
    <w:rsid w:val="00754CEF"/>
    <w:rsid w:val="0075696A"/>
    <w:rsid w:val="00756B3C"/>
    <w:rsid w:val="007571E1"/>
    <w:rsid w:val="007604B2"/>
    <w:rsid w:val="00760F02"/>
    <w:rsid w:val="007611A3"/>
    <w:rsid w:val="0076233E"/>
    <w:rsid w:val="00762838"/>
    <w:rsid w:val="00763069"/>
    <w:rsid w:val="00763492"/>
    <w:rsid w:val="007634A3"/>
    <w:rsid w:val="00765281"/>
    <w:rsid w:val="00766BAD"/>
    <w:rsid w:val="00767B5D"/>
    <w:rsid w:val="00770882"/>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1D"/>
    <w:rsid w:val="00790BBC"/>
    <w:rsid w:val="00790DD0"/>
    <w:rsid w:val="00791025"/>
    <w:rsid w:val="0079229A"/>
    <w:rsid w:val="007925EA"/>
    <w:rsid w:val="00793ABB"/>
    <w:rsid w:val="00793CD8"/>
    <w:rsid w:val="00794086"/>
    <w:rsid w:val="007946D5"/>
    <w:rsid w:val="00794BAD"/>
    <w:rsid w:val="007952E4"/>
    <w:rsid w:val="00795C92"/>
    <w:rsid w:val="007961F9"/>
    <w:rsid w:val="00796231"/>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A1C"/>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E93"/>
    <w:rsid w:val="007D3E13"/>
    <w:rsid w:val="007D49DF"/>
    <w:rsid w:val="007D5901"/>
    <w:rsid w:val="007D5FDF"/>
    <w:rsid w:val="007D6077"/>
    <w:rsid w:val="007D6509"/>
    <w:rsid w:val="007D6B47"/>
    <w:rsid w:val="007D7080"/>
    <w:rsid w:val="007D7526"/>
    <w:rsid w:val="007D7907"/>
    <w:rsid w:val="007E16C4"/>
    <w:rsid w:val="007E2B15"/>
    <w:rsid w:val="007E3D30"/>
    <w:rsid w:val="007E4036"/>
    <w:rsid w:val="007E4610"/>
    <w:rsid w:val="007E4715"/>
    <w:rsid w:val="007E505B"/>
    <w:rsid w:val="007E5577"/>
    <w:rsid w:val="007E6995"/>
    <w:rsid w:val="007E7091"/>
    <w:rsid w:val="007E7F4D"/>
    <w:rsid w:val="007F01F7"/>
    <w:rsid w:val="007F0D97"/>
    <w:rsid w:val="007F1836"/>
    <w:rsid w:val="007F1F5E"/>
    <w:rsid w:val="007F282A"/>
    <w:rsid w:val="007F3203"/>
    <w:rsid w:val="007F3238"/>
    <w:rsid w:val="007F39DB"/>
    <w:rsid w:val="007F3A8A"/>
    <w:rsid w:val="007F4820"/>
    <w:rsid w:val="007F49B3"/>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554A"/>
    <w:rsid w:val="008255D7"/>
    <w:rsid w:val="00825B54"/>
    <w:rsid w:val="00825C42"/>
    <w:rsid w:val="00825D25"/>
    <w:rsid w:val="008269C7"/>
    <w:rsid w:val="00827D6F"/>
    <w:rsid w:val="00831FCA"/>
    <w:rsid w:val="00832196"/>
    <w:rsid w:val="008321E8"/>
    <w:rsid w:val="00832211"/>
    <w:rsid w:val="00832B4F"/>
    <w:rsid w:val="00832D4B"/>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27"/>
    <w:rsid w:val="00857756"/>
    <w:rsid w:val="00857B60"/>
    <w:rsid w:val="00857C72"/>
    <w:rsid w:val="0086126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4D"/>
    <w:rsid w:val="0087296A"/>
    <w:rsid w:val="00872A5A"/>
    <w:rsid w:val="008736C8"/>
    <w:rsid w:val="0087399E"/>
    <w:rsid w:val="00874312"/>
    <w:rsid w:val="0087437C"/>
    <w:rsid w:val="008744B4"/>
    <w:rsid w:val="00875195"/>
    <w:rsid w:val="00875BC3"/>
    <w:rsid w:val="00875CD7"/>
    <w:rsid w:val="0087620E"/>
    <w:rsid w:val="0087639A"/>
    <w:rsid w:val="00876B4D"/>
    <w:rsid w:val="0087728F"/>
    <w:rsid w:val="00877A73"/>
    <w:rsid w:val="00877F18"/>
    <w:rsid w:val="00880720"/>
    <w:rsid w:val="00881DB0"/>
    <w:rsid w:val="0088237C"/>
    <w:rsid w:val="0088266D"/>
    <w:rsid w:val="0088283E"/>
    <w:rsid w:val="00882ACD"/>
    <w:rsid w:val="0088337D"/>
    <w:rsid w:val="00883A9D"/>
    <w:rsid w:val="00885038"/>
    <w:rsid w:val="008866B2"/>
    <w:rsid w:val="00886C3F"/>
    <w:rsid w:val="00887CF8"/>
    <w:rsid w:val="0089059B"/>
    <w:rsid w:val="0089190F"/>
    <w:rsid w:val="0089285F"/>
    <w:rsid w:val="00892B04"/>
    <w:rsid w:val="0089342C"/>
    <w:rsid w:val="00893AB1"/>
    <w:rsid w:val="008941E3"/>
    <w:rsid w:val="00894A88"/>
    <w:rsid w:val="00894CAB"/>
    <w:rsid w:val="00895055"/>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90B"/>
    <w:rsid w:val="008C0C99"/>
    <w:rsid w:val="008C1F9A"/>
    <w:rsid w:val="008C2017"/>
    <w:rsid w:val="008C27D0"/>
    <w:rsid w:val="008C4958"/>
    <w:rsid w:val="008C4BAA"/>
    <w:rsid w:val="008C4BF1"/>
    <w:rsid w:val="008C4D40"/>
    <w:rsid w:val="008C5CCE"/>
    <w:rsid w:val="008C6AE8"/>
    <w:rsid w:val="008C6C1E"/>
    <w:rsid w:val="008C6ED1"/>
    <w:rsid w:val="008C7573"/>
    <w:rsid w:val="008C7DEA"/>
    <w:rsid w:val="008D00A5"/>
    <w:rsid w:val="008D0375"/>
    <w:rsid w:val="008D0789"/>
    <w:rsid w:val="008D34F1"/>
    <w:rsid w:val="008D39D8"/>
    <w:rsid w:val="008D3FD2"/>
    <w:rsid w:val="008D4313"/>
    <w:rsid w:val="008D55B5"/>
    <w:rsid w:val="008D5A90"/>
    <w:rsid w:val="008D6D1A"/>
    <w:rsid w:val="008D7904"/>
    <w:rsid w:val="008E017C"/>
    <w:rsid w:val="008E065E"/>
    <w:rsid w:val="008E0927"/>
    <w:rsid w:val="008E0C02"/>
    <w:rsid w:val="008E1279"/>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737"/>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2350"/>
    <w:rsid w:val="0090336B"/>
    <w:rsid w:val="00903D7F"/>
    <w:rsid w:val="009053AA"/>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60E8"/>
    <w:rsid w:val="009563D1"/>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6062"/>
    <w:rsid w:val="00966093"/>
    <w:rsid w:val="0096671C"/>
    <w:rsid w:val="00966758"/>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8E6"/>
    <w:rsid w:val="009E6A3E"/>
    <w:rsid w:val="009E743B"/>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691E"/>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2E1D"/>
    <w:rsid w:val="00A52F1B"/>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771"/>
    <w:rsid w:val="00A86ABA"/>
    <w:rsid w:val="00A912D3"/>
    <w:rsid w:val="00A92879"/>
    <w:rsid w:val="00A9442A"/>
    <w:rsid w:val="00A944B8"/>
    <w:rsid w:val="00A9452F"/>
    <w:rsid w:val="00A945C7"/>
    <w:rsid w:val="00A9525E"/>
    <w:rsid w:val="00A9556E"/>
    <w:rsid w:val="00A96302"/>
    <w:rsid w:val="00A96334"/>
    <w:rsid w:val="00A964B8"/>
    <w:rsid w:val="00A96572"/>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7BB"/>
    <w:rsid w:val="00AD1B45"/>
    <w:rsid w:val="00AD1BCF"/>
    <w:rsid w:val="00AD1FF5"/>
    <w:rsid w:val="00AD2386"/>
    <w:rsid w:val="00AD2489"/>
    <w:rsid w:val="00AD2ED0"/>
    <w:rsid w:val="00AD3F94"/>
    <w:rsid w:val="00AD4738"/>
    <w:rsid w:val="00AD4A5A"/>
    <w:rsid w:val="00AD4B0C"/>
    <w:rsid w:val="00AD4E0E"/>
    <w:rsid w:val="00AD50FA"/>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7"/>
    <w:rsid w:val="00B07396"/>
    <w:rsid w:val="00B07578"/>
    <w:rsid w:val="00B10567"/>
    <w:rsid w:val="00B11624"/>
    <w:rsid w:val="00B118FC"/>
    <w:rsid w:val="00B11F59"/>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E1B"/>
    <w:rsid w:val="00B236ED"/>
    <w:rsid w:val="00B24318"/>
    <w:rsid w:val="00B2476D"/>
    <w:rsid w:val="00B2554A"/>
    <w:rsid w:val="00B25675"/>
    <w:rsid w:val="00B256B9"/>
    <w:rsid w:val="00B25E02"/>
    <w:rsid w:val="00B26BAB"/>
    <w:rsid w:val="00B26E2B"/>
    <w:rsid w:val="00B2763F"/>
    <w:rsid w:val="00B278DF"/>
    <w:rsid w:val="00B27AAC"/>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45D"/>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B59"/>
    <w:rsid w:val="00B9406A"/>
    <w:rsid w:val="00B94AF0"/>
    <w:rsid w:val="00B94E07"/>
    <w:rsid w:val="00B95040"/>
    <w:rsid w:val="00B950EE"/>
    <w:rsid w:val="00B9540F"/>
    <w:rsid w:val="00B97EE7"/>
    <w:rsid w:val="00BA0208"/>
    <w:rsid w:val="00BA047F"/>
    <w:rsid w:val="00BA0741"/>
    <w:rsid w:val="00BA0843"/>
    <w:rsid w:val="00BA161F"/>
    <w:rsid w:val="00BA2280"/>
    <w:rsid w:val="00BA2A08"/>
    <w:rsid w:val="00BA2DD9"/>
    <w:rsid w:val="00BA3B7C"/>
    <w:rsid w:val="00BA4B5A"/>
    <w:rsid w:val="00BA56D2"/>
    <w:rsid w:val="00BA62B6"/>
    <w:rsid w:val="00BA635C"/>
    <w:rsid w:val="00BA64B3"/>
    <w:rsid w:val="00BA74A4"/>
    <w:rsid w:val="00BA76E0"/>
    <w:rsid w:val="00BB01C8"/>
    <w:rsid w:val="00BB045D"/>
    <w:rsid w:val="00BB065B"/>
    <w:rsid w:val="00BB0920"/>
    <w:rsid w:val="00BB10A7"/>
    <w:rsid w:val="00BB1465"/>
    <w:rsid w:val="00BB1DB4"/>
    <w:rsid w:val="00BB2143"/>
    <w:rsid w:val="00BB22B2"/>
    <w:rsid w:val="00BB2388"/>
    <w:rsid w:val="00BB2A25"/>
    <w:rsid w:val="00BB2ACC"/>
    <w:rsid w:val="00BB3143"/>
    <w:rsid w:val="00BB356A"/>
    <w:rsid w:val="00BB37BA"/>
    <w:rsid w:val="00BB397D"/>
    <w:rsid w:val="00BB4AC5"/>
    <w:rsid w:val="00BB51E9"/>
    <w:rsid w:val="00BB5873"/>
    <w:rsid w:val="00BB60D1"/>
    <w:rsid w:val="00BB6988"/>
    <w:rsid w:val="00BC0FDC"/>
    <w:rsid w:val="00BC27DA"/>
    <w:rsid w:val="00BC3053"/>
    <w:rsid w:val="00BC38EE"/>
    <w:rsid w:val="00BC4D2E"/>
    <w:rsid w:val="00BC4E86"/>
    <w:rsid w:val="00BC637E"/>
    <w:rsid w:val="00BC6A7C"/>
    <w:rsid w:val="00BC6FA0"/>
    <w:rsid w:val="00BC7B78"/>
    <w:rsid w:val="00BD00A6"/>
    <w:rsid w:val="00BD07F1"/>
    <w:rsid w:val="00BD0D7E"/>
    <w:rsid w:val="00BD15D8"/>
    <w:rsid w:val="00BD3078"/>
    <w:rsid w:val="00BD44D5"/>
    <w:rsid w:val="00BD48AC"/>
    <w:rsid w:val="00BD4B82"/>
    <w:rsid w:val="00BD580C"/>
    <w:rsid w:val="00BD598C"/>
    <w:rsid w:val="00BD5F1A"/>
    <w:rsid w:val="00BD7E12"/>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F33"/>
    <w:rsid w:val="00C02BF3"/>
    <w:rsid w:val="00C02CC6"/>
    <w:rsid w:val="00C03657"/>
    <w:rsid w:val="00C03BEF"/>
    <w:rsid w:val="00C04066"/>
    <w:rsid w:val="00C040F7"/>
    <w:rsid w:val="00C044AB"/>
    <w:rsid w:val="00C04D84"/>
    <w:rsid w:val="00C05706"/>
    <w:rsid w:val="00C067AE"/>
    <w:rsid w:val="00C07377"/>
    <w:rsid w:val="00C076AD"/>
    <w:rsid w:val="00C07F37"/>
    <w:rsid w:val="00C10478"/>
    <w:rsid w:val="00C108E8"/>
    <w:rsid w:val="00C10AA0"/>
    <w:rsid w:val="00C10DE1"/>
    <w:rsid w:val="00C1155A"/>
    <w:rsid w:val="00C11E77"/>
    <w:rsid w:val="00C12107"/>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062"/>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1C8"/>
    <w:rsid w:val="00C944AB"/>
    <w:rsid w:val="00C9456E"/>
    <w:rsid w:val="00C94A3A"/>
    <w:rsid w:val="00C95B40"/>
    <w:rsid w:val="00C96703"/>
    <w:rsid w:val="00C97929"/>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E2A"/>
    <w:rsid w:val="00CE0424"/>
    <w:rsid w:val="00CE0A6F"/>
    <w:rsid w:val="00CE0BF7"/>
    <w:rsid w:val="00CE1203"/>
    <w:rsid w:val="00CE141C"/>
    <w:rsid w:val="00CE1CED"/>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6EB"/>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9B0"/>
    <w:rsid w:val="00D36BEE"/>
    <w:rsid w:val="00D36E71"/>
    <w:rsid w:val="00D37D87"/>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50DA6"/>
    <w:rsid w:val="00D51F54"/>
    <w:rsid w:val="00D5263E"/>
    <w:rsid w:val="00D534A7"/>
    <w:rsid w:val="00D5356F"/>
    <w:rsid w:val="00D53A66"/>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AF5"/>
    <w:rsid w:val="00D62A5F"/>
    <w:rsid w:val="00D6523C"/>
    <w:rsid w:val="00D652B5"/>
    <w:rsid w:val="00D66155"/>
    <w:rsid w:val="00D665EB"/>
    <w:rsid w:val="00D66CB2"/>
    <w:rsid w:val="00D67A3F"/>
    <w:rsid w:val="00D70137"/>
    <w:rsid w:val="00D708B0"/>
    <w:rsid w:val="00D7141F"/>
    <w:rsid w:val="00D71E6A"/>
    <w:rsid w:val="00D72E49"/>
    <w:rsid w:val="00D732D7"/>
    <w:rsid w:val="00D734EB"/>
    <w:rsid w:val="00D7370E"/>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5351"/>
    <w:rsid w:val="00D953CE"/>
    <w:rsid w:val="00D9664E"/>
    <w:rsid w:val="00D972E0"/>
    <w:rsid w:val="00DA00C9"/>
    <w:rsid w:val="00DA0D24"/>
    <w:rsid w:val="00DA0EF5"/>
    <w:rsid w:val="00DA0FB8"/>
    <w:rsid w:val="00DA1418"/>
    <w:rsid w:val="00DA2799"/>
    <w:rsid w:val="00DA305E"/>
    <w:rsid w:val="00DA32D8"/>
    <w:rsid w:val="00DA45B1"/>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143B"/>
    <w:rsid w:val="00DC2551"/>
    <w:rsid w:val="00DC2D36"/>
    <w:rsid w:val="00DC4734"/>
    <w:rsid w:val="00DC4E09"/>
    <w:rsid w:val="00DC535B"/>
    <w:rsid w:val="00DC53C4"/>
    <w:rsid w:val="00DC53EF"/>
    <w:rsid w:val="00DC5576"/>
    <w:rsid w:val="00DC5CB0"/>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9F6"/>
    <w:rsid w:val="00DD6ACE"/>
    <w:rsid w:val="00DD6D47"/>
    <w:rsid w:val="00DD7212"/>
    <w:rsid w:val="00DD7A18"/>
    <w:rsid w:val="00DD7A1F"/>
    <w:rsid w:val="00DE05F4"/>
    <w:rsid w:val="00DE08E0"/>
    <w:rsid w:val="00DE1585"/>
    <w:rsid w:val="00DE1E1F"/>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5E0"/>
    <w:rsid w:val="00DF1815"/>
    <w:rsid w:val="00DF19FC"/>
    <w:rsid w:val="00DF2693"/>
    <w:rsid w:val="00DF2C5D"/>
    <w:rsid w:val="00DF3568"/>
    <w:rsid w:val="00DF37A0"/>
    <w:rsid w:val="00DF3D95"/>
    <w:rsid w:val="00DF7053"/>
    <w:rsid w:val="00E00290"/>
    <w:rsid w:val="00E012D3"/>
    <w:rsid w:val="00E0152F"/>
    <w:rsid w:val="00E01659"/>
    <w:rsid w:val="00E02115"/>
    <w:rsid w:val="00E03F1D"/>
    <w:rsid w:val="00E05AD5"/>
    <w:rsid w:val="00E06F19"/>
    <w:rsid w:val="00E07E31"/>
    <w:rsid w:val="00E10342"/>
    <w:rsid w:val="00E10485"/>
    <w:rsid w:val="00E105D0"/>
    <w:rsid w:val="00E110C9"/>
    <w:rsid w:val="00E110E7"/>
    <w:rsid w:val="00E11B20"/>
    <w:rsid w:val="00E12C33"/>
    <w:rsid w:val="00E12CEF"/>
    <w:rsid w:val="00E134E1"/>
    <w:rsid w:val="00E13ACC"/>
    <w:rsid w:val="00E1480A"/>
    <w:rsid w:val="00E1557F"/>
    <w:rsid w:val="00E15624"/>
    <w:rsid w:val="00E15629"/>
    <w:rsid w:val="00E15672"/>
    <w:rsid w:val="00E1706B"/>
    <w:rsid w:val="00E17541"/>
    <w:rsid w:val="00E17FA2"/>
    <w:rsid w:val="00E22330"/>
    <w:rsid w:val="00E22491"/>
    <w:rsid w:val="00E225CC"/>
    <w:rsid w:val="00E227C0"/>
    <w:rsid w:val="00E2280C"/>
    <w:rsid w:val="00E22DB0"/>
    <w:rsid w:val="00E22EBA"/>
    <w:rsid w:val="00E23380"/>
    <w:rsid w:val="00E2405F"/>
    <w:rsid w:val="00E25493"/>
    <w:rsid w:val="00E25C9B"/>
    <w:rsid w:val="00E26776"/>
    <w:rsid w:val="00E26BC9"/>
    <w:rsid w:val="00E27D47"/>
    <w:rsid w:val="00E303C8"/>
    <w:rsid w:val="00E3076C"/>
    <w:rsid w:val="00E30A20"/>
    <w:rsid w:val="00E30B5A"/>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22D"/>
    <w:rsid w:val="00E4543E"/>
    <w:rsid w:val="00E465E2"/>
    <w:rsid w:val="00E46886"/>
    <w:rsid w:val="00E47AEF"/>
    <w:rsid w:val="00E47E1C"/>
    <w:rsid w:val="00E50127"/>
    <w:rsid w:val="00E503B1"/>
    <w:rsid w:val="00E50F3E"/>
    <w:rsid w:val="00E528D0"/>
    <w:rsid w:val="00E531DF"/>
    <w:rsid w:val="00E5373F"/>
    <w:rsid w:val="00E5387B"/>
    <w:rsid w:val="00E53B75"/>
    <w:rsid w:val="00E5407F"/>
    <w:rsid w:val="00E54679"/>
    <w:rsid w:val="00E54E3B"/>
    <w:rsid w:val="00E55401"/>
    <w:rsid w:val="00E56DDA"/>
    <w:rsid w:val="00E56FB2"/>
    <w:rsid w:val="00E572A4"/>
    <w:rsid w:val="00E57565"/>
    <w:rsid w:val="00E60DA0"/>
    <w:rsid w:val="00E62479"/>
    <w:rsid w:val="00E63058"/>
    <w:rsid w:val="00E6310A"/>
    <w:rsid w:val="00E63358"/>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E2"/>
    <w:rsid w:val="00E80573"/>
    <w:rsid w:val="00E806B3"/>
    <w:rsid w:val="00E80FB9"/>
    <w:rsid w:val="00E81D9B"/>
    <w:rsid w:val="00E821CA"/>
    <w:rsid w:val="00E8234C"/>
    <w:rsid w:val="00E82530"/>
    <w:rsid w:val="00E8350A"/>
    <w:rsid w:val="00E83AA9"/>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7A8"/>
    <w:rsid w:val="00EB2C3F"/>
    <w:rsid w:val="00EB2F51"/>
    <w:rsid w:val="00EB4EA2"/>
    <w:rsid w:val="00EB5348"/>
    <w:rsid w:val="00EB564D"/>
    <w:rsid w:val="00EB6152"/>
    <w:rsid w:val="00EB6FDF"/>
    <w:rsid w:val="00EB7CD8"/>
    <w:rsid w:val="00EC019B"/>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225"/>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B5D"/>
    <w:rsid w:val="00EF4F47"/>
    <w:rsid w:val="00EF5787"/>
    <w:rsid w:val="00EF60D0"/>
    <w:rsid w:val="00EF650C"/>
    <w:rsid w:val="00EF67F7"/>
    <w:rsid w:val="00EF697F"/>
    <w:rsid w:val="00EF6A7E"/>
    <w:rsid w:val="00EF733E"/>
    <w:rsid w:val="00EF7E93"/>
    <w:rsid w:val="00EF7EC0"/>
    <w:rsid w:val="00F011F3"/>
    <w:rsid w:val="00F01525"/>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6C14"/>
    <w:rsid w:val="00F271E9"/>
    <w:rsid w:val="00F27AC6"/>
    <w:rsid w:val="00F27BA4"/>
    <w:rsid w:val="00F27CDB"/>
    <w:rsid w:val="00F30828"/>
    <w:rsid w:val="00F31132"/>
    <w:rsid w:val="00F31375"/>
    <w:rsid w:val="00F313D6"/>
    <w:rsid w:val="00F31727"/>
    <w:rsid w:val="00F3243F"/>
    <w:rsid w:val="00F3590E"/>
    <w:rsid w:val="00F35B29"/>
    <w:rsid w:val="00F362D1"/>
    <w:rsid w:val="00F36C7B"/>
    <w:rsid w:val="00F37875"/>
    <w:rsid w:val="00F37C37"/>
    <w:rsid w:val="00F37FE0"/>
    <w:rsid w:val="00F40636"/>
    <w:rsid w:val="00F40B24"/>
    <w:rsid w:val="00F40F0C"/>
    <w:rsid w:val="00F417D4"/>
    <w:rsid w:val="00F43C80"/>
    <w:rsid w:val="00F4478F"/>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950"/>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56C4"/>
    <w:rsid w:val="00FA5B98"/>
    <w:rsid w:val="00FA5DFF"/>
    <w:rsid w:val="00FA6271"/>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93B"/>
    <w:rsid w:val="00FB4C80"/>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E4C"/>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204B"/>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D20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204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 w:type="character" w:customStyle="1" w:styleId="apple-converted-space">
    <w:name w:val="apple-converted-space"/>
    <w:basedOn w:val="DefaultParagraphFont"/>
    <w:rsid w:val="00EF4B5D"/>
  </w:style>
  <w:style w:type="paragraph" w:customStyle="1" w:styleId="a0">
    <w:name w:val="a0"/>
    <w:basedOn w:val="Normal"/>
    <w:uiPriority w:val="99"/>
    <w:rsid w:val="006B24EB"/>
    <w:pPr>
      <w:spacing w:before="100" w:beforeAutospacing="1" w:after="100" w:afterAutospacing="1" w:line="240" w:lineRule="auto"/>
    </w:pPr>
    <w:rPr>
      <w:rFonts w:ascii="MS PGothic" w:eastAsia="MS PGothic" w:hAnsi="MS PGothic" w:cs="Calibri"/>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4171">
      <w:bodyDiv w:val="1"/>
      <w:marLeft w:val="0"/>
      <w:marRight w:val="0"/>
      <w:marTop w:val="0"/>
      <w:marBottom w:val="0"/>
      <w:divBdr>
        <w:top w:val="none" w:sz="0" w:space="0" w:color="auto"/>
        <w:left w:val="none" w:sz="0" w:space="0" w:color="auto"/>
        <w:bottom w:val="none" w:sz="0" w:space="0" w:color="auto"/>
        <w:right w:val="none" w:sz="0" w:space="0" w:color="auto"/>
      </w:divBdr>
    </w:div>
    <w:div w:id="30809071">
      <w:bodyDiv w:val="1"/>
      <w:marLeft w:val="0"/>
      <w:marRight w:val="0"/>
      <w:marTop w:val="0"/>
      <w:marBottom w:val="0"/>
      <w:divBdr>
        <w:top w:val="none" w:sz="0" w:space="0" w:color="auto"/>
        <w:left w:val="none" w:sz="0" w:space="0" w:color="auto"/>
        <w:bottom w:val="none" w:sz="0" w:space="0" w:color="auto"/>
        <w:right w:val="none" w:sz="0" w:space="0" w:color="auto"/>
      </w:divBdr>
    </w:div>
    <w:div w:id="55709400">
      <w:bodyDiv w:val="1"/>
      <w:marLeft w:val="0"/>
      <w:marRight w:val="0"/>
      <w:marTop w:val="0"/>
      <w:marBottom w:val="0"/>
      <w:divBdr>
        <w:top w:val="none" w:sz="0" w:space="0" w:color="auto"/>
        <w:left w:val="none" w:sz="0" w:space="0" w:color="auto"/>
        <w:bottom w:val="none" w:sz="0" w:space="0" w:color="auto"/>
        <w:right w:val="none" w:sz="0" w:space="0" w:color="auto"/>
      </w:divBdr>
    </w:div>
    <w:div w:id="73014657">
      <w:bodyDiv w:val="1"/>
      <w:marLeft w:val="0"/>
      <w:marRight w:val="0"/>
      <w:marTop w:val="0"/>
      <w:marBottom w:val="0"/>
      <w:divBdr>
        <w:top w:val="none" w:sz="0" w:space="0" w:color="auto"/>
        <w:left w:val="none" w:sz="0" w:space="0" w:color="auto"/>
        <w:bottom w:val="none" w:sz="0" w:space="0" w:color="auto"/>
        <w:right w:val="none" w:sz="0" w:space="0" w:color="auto"/>
      </w:divBdr>
    </w:div>
    <w:div w:id="110513442">
      <w:bodyDiv w:val="1"/>
      <w:marLeft w:val="0"/>
      <w:marRight w:val="0"/>
      <w:marTop w:val="0"/>
      <w:marBottom w:val="0"/>
      <w:divBdr>
        <w:top w:val="none" w:sz="0" w:space="0" w:color="auto"/>
        <w:left w:val="none" w:sz="0" w:space="0" w:color="auto"/>
        <w:bottom w:val="none" w:sz="0" w:space="0" w:color="auto"/>
        <w:right w:val="none" w:sz="0" w:space="0" w:color="auto"/>
      </w:divBdr>
    </w:div>
    <w:div w:id="142546031">
      <w:bodyDiv w:val="1"/>
      <w:marLeft w:val="0"/>
      <w:marRight w:val="0"/>
      <w:marTop w:val="0"/>
      <w:marBottom w:val="0"/>
      <w:divBdr>
        <w:top w:val="none" w:sz="0" w:space="0" w:color="auto"/>
        <w:left w:val="none" w:sz="0" w:space="0" w:color="auto"/>
        <w:bottom w:val="none" w:sz="0" w:space="0" w:color="auto"/>
        <w:right w:val="none" w:sz="0" w:space="0" w:color="auto"/>
      </w:divBdr>
    </w:div>
    <w:div w:id="164441726">
      <w:bodyDiv w:val="1"/>
      <w:marLeft w:val="0"/>
      <w:marRight w:val="0"/>
      <w:marTop w:val="0"/>
      <w:marBottom w:val="0"/>
      <w:divBdr>
        <w:top w:val="none" w:sz="0" w:space="0" w:color="auto"/>
        <w:left w:val="none" w:sz="0" w:space="0" w:color="auto"/>
        <w:bottom w:val="none" w:sz="0" w:space="0" w:color="auto"/>
        <w:right w:val="none" w:sz="0" w:space="0" w:color="auto"/>
      </w:divBdr>
    </w:div>
    <w:div w:id="170995427">
      <w:bodyDiv w:val="1"/>
      <w:marLeft w:val="0"/>
      <w:marRight w:val="0"/>
      <w:marTop w:val="0"/>
      <w:marBottom w:val="0"/>
      <w:divBdr>
        <w:top w:val="none" w:sz="0" w:space="0" w:color="auto"/>
        <w:left w:val="none" w:sz="0" w:space="0" w:color="auto"/>
        <w:bottom w:val="none" w:sz="0" w:space="0" w:color="auto"/>
        <w:right w:val="none" w:sz="0" w:space="0" w:color="auto"/>
      </w:divBdr>
    </w:div>
    <w:div w:id="320428220">
      <w:bodyDiv w:val="1"/>
      <w:marLeft w:val="0"/>
      <w:marRight w:val="0"/>
      <w:marTop w:val="0"/>
      <w:marBottom w:val="0"/>
      <w:divBdr>
        <w:top w:val="none" w:sz="0" w:space="0" w:color="auto"/>
        <w:left w:val="none" w:sz="0" w:space="0" w:color="auto"/>
        <w:bottom w:val="none" w:sz="0" w:space="0" w:color="auto"/>
        <w:right w:val="none" w:sz="0" w:space="0" w:color="auto"/>
      </w:divBdr>
    </w:div>
    <w:div w:id="388310130">
      <w:bodyDiv w:val="1"/>
      <w:marLeft w:val="0"/>
      <w:marRight w:val="0"/>
      <w:marTop w:val="0"/>
      <w:marBottom w:val="0"/>
      <w:divBdr>
        <w:top w:val="none" w:sz="0" w:space="0" w:color="auto"/>
        <w:left w:val="none" w:sz="0" w:space="0" w:color="auto"/>
        <w:bottom w:val="none" w:sz="0" w:space="0" w:color="auto"/>
        <w:right w:val="none" w:sz="0" w:space="0" w:color="auto"/>
      </w:divBdr>
    </w:div>
    <w:div w:id="478427877">
      <w:bodyDiv w:val="1"/>
      <w:marLeft w:val="0"/>
      <w:marRight w:val="0"/>
      <w:marTop w:val="0"/>
      <w:marBottom w:val="0"/>
      <w:divBdr>
        <w:top w:val="none" w:sz="0" w:space="0" w:color="auto"/>
        <w:left w:val="none" w:sz="0" w:space="0" w:color="auto"/>
        <w:bottom w:val="none" w:sz="0" w:space="0" w:color="auto"/>
        <w:right w:val="none" w:sz="0" w:space="0" w:color="auto"/>
      </w:divBdr>
    </w:div>
    <w:div w:id="494029783">
      <w:bodyDiv w:val="1"/>
      <w:marLeft w:val="0"/>
      <w:marRight w:val="0"/>
      <w:marTop w:val="0"/>
      <w:marBottom w:val="0"/>
      <w:divBdr>
        <w:top w:val="none" w:sz="0" w:space="0" w:color="auto"/>
        <w:left w:val="none" w:sz="0" w:space="0" w:color="auto"/>
        <w:bottom w:val="none" w:sz="0" w:space="0" w:color="auto"/>
        <w:right w:val="none" w:sz="0" w:space="0" w:color="auto"/>
      </w:divBdr>
    </w:div>
    <w:div w:id="497814402">
      <w:bodyDiv w:val="1"/>
      <w:marLeft w:val="0"/>
      <w:marRight w:val="0"/>
      <w:marTop w:val="0"/>
      <w:marBottom w:val="0"/>
      <w:divBdr>
        <w:top w:val="none" w:sz="0" w:space="0" w:color="auto"/>
        <w:left w:val="none" w:sz="0" w:space="0" w:color="auto"/>
        <w:bottom w:val="none" w:sz="0" w:space="0" w:color="auto"/>
        <w:right w:val="none" w:sz="0" w:space="0" w:color="auto"/>
      </w:divBdr>
    </w:div>
    <w:div w:id="641274884">
      <w:bodyDiv w:val="1"/>
      <w:marLeft w:val="0"/>
      <w:marRight w:val="0"/>
      <w:marTop w:val="0"/>
      <w:marBottom w:val="0"/>
      <w:divBdr>
        <w:top w:val="none" w:sz="0" w:space="0" w:color="auto"/>
        <w:left w:val="none" w:sz="0" w:space="0" w:color="auto"/>
        <w:bottom w:val="none" w:sz="0" w:space="0" w:color="auto"/>
        <w:right w:val="none" w:sz="0" w:space="0" w:color="auto"/>
      </w:divBdr>
    </w:div>
    <w:div w:id="647049396">
      <w:bodyDiv w:val="1"/>
      <w:marLeft w:val="0"/>
      <w:marRight w:val="0"/>
      <w:marTop w:val="0"/>
      <w:marBottom w:val="0"/>
      <w:divBdr>
        <w:top w:val="none" w:sz="0" w:space="0" w:color="auto"/>
        <w:left w:val="none" w:sz="0" w:space="0" w:color="auto"/>
        <w:bottom w:val="none" w:sz="0" w:space="0" w:color="auto"/>
        <w:right w:val="none" w:sz="0" w:space="0" w:color="auto"/>
      </w:divBdr>
    </w:div>
    <w:div w:id="767241662">
      <w:bodyDiv w:val="1"/>
      <w:marLeft w:val="0"/>
      <w:marRight w:val="0"/>
      <w:marTop w:val="0"/>
      <w:marBottom w:val="0"/>
      <w:divBdr>
        <w:top w:val="none" w:sz="0" w:space="0" w:color="auto"/>
        <w:left w:val="none" w:sz="0" w:space="0" w:color="auto"/>
        <w:bottom w:val="none" w:sz="0" w:space="0" w:color="auto"/>
        <w:right w:val="none" w:sz="0" w:space="0" w:color="auto"/>
      </w:divBdr>
    </w:div>
    <w:div w:id="802424307">
      <w:bodyDiv w:val="1"/>
      <w:marLeft w:val="0"/>
      <w:marRight w:val="0"/>
      <w:marTop w:val="0"/>
      <w:marBottom w:val="0"/>
      <w:divBdr>
        <w:top w:val="none" w:sz="0" w:space="0" w:color="auto"/>
        <w:left w:val="none" w:sz="0" w:space="0" w:color="auto"/>
        <w:bottom w:val="none" w:sz="0" w:space="0" w:color="auto"/>
        <w:right w:val="none" w:sz="0" w:space="0" w:color="auto"/>
      </w:divBdr>
    </w:div>
    <w:div w:id="878667141">
      <w:bodyDiv w:val="1"/>
      <w:marLeft w:val="0"/>
      <w:marRight w:val="0"/>
      <w:marTop w:val="0"/>
      <w:marBottom w:val="0"/>
      <w:divBdr>
        <w:top w:val="none" w:sz="0" w:space="0" w:color="auto"/>
        <w:left w:val="none" w:sz="0" w:space="0" w:color="auto"/>
        <w:bottom w:val="none" w:sz="0" w:space="0" w:color="auto"/>
        <w:right w:val="none" w:sz="0" w:space="0" w:color="auto"/>
      </w:divBdr>
    </w:div>
    <w:div w:id="930554002">
      <w:bodyDiv w:val="1"/>
      <w:marLeft w:val="0"/>
      <w:marRight w:val="0"/>
      <w:marTop w:val="0"/>
      <w:marBottom w:val="0"/>
      <w:divBdr>
        <w:top w:val="none" w:sz="0" w:space="0" w:color="auto"/>
        <w:left w:val="none" w:sz="0" w:space="0" w:color="auto"/>
        <w:bottom w:val="none" w:sz="0" w:space="0" w:color="auto"/>
        <w:right w:val="none" w:sz="0" w:space="0" w:color="auto"/>
      </w:divBdr>
    </w:div>
    <w:div w:id="989791534">
      <w:bodyDiv w:val="1"/>
      <w:marLeft w:val="0"/>
      <w:marRight w:val="0"/>
      <w:marTop w:val="0"/>
      <w:marBottom w:val="0"/>
      <w:divBdr>
        <w:top w:val="none" w:sz="0" w:space="0" w:color="auto"/>
        <w:left w:val="none" w:sz="0" w:space="0" w:color="auto"/>
        <w:bottom w:val="none" w:sz="0" w:space="0" w:color="auto"/>
        <w:right w:val="none" w:sz="0" w:space="0" w:color="auto"/>
      </w:divBdr>
    </w:div>
    <w:div w:id="1004474209">
      <w:bodyDiv w:val="1"/>
      <w:marLeft w:val="0"/>
      <w:marRight w:val="0"/>
      <w:marTop w:val="0"/>
      <w:marBottom w:val="0"/>
      <w:divBdr>
        <w:top w:val="none" w:sz="0" w:space="0" w:color="auto"/>
        <w:left w:val="none" w:sz="0" w:space="0" w:color="auto"/>
        <w:bottom w:val="none" w:sz="0" w:space="0" w:color="auto"/>
        <w:right w:val="none" w:sz="0" w:space="0" w:color="auto"/>
      </w:divBdr>
    </w:div>
    <w:div w:id="1020619535">
      <w:bodyDiv w:val="1"/>
      <w:marLeft w:val="0"/>
      <w:marRight w:val="0"/>
      <w:marTop w:val="0"/>
      <w:marBottom w:val="0"/>
      <w:divBdr>
        <w:top w:val="none" w:sz="0" w:space="0" w:color="auto"/>
        <w:left w:val="none" w:sz="0" w:space="0" w:color="auto"/>
        <w:bottom w:val="none" w:sz="0" w:space="0" w:color="auto"/>
        <w:right w:val="none" w:sz="0" w:space="0" w:color="auto"/>
      </w:divBdr>
    </w:div>
    <w:div w:id="1056926574">
      <w:bodyDiv w:val="1"/>
      <w:marLeft w:val="0"/>
      <w:marRight w:val="0"/>
      <w:marTop w:val="0"/>
      <w:marBottom w:val="0"/>
      <w:divBdr>
        <w:top w:val="none" w:sz="0" w:space="0" w:color="auto"/>
        <w:left w:val="none" w:sz="0" w:space="0" w:color="auto"/>
        <w:bottom w:val="none" w:sz="0" w:space="0" w:color="auto"/>
        <w:right w:val="none" w:sz="0" w:space="0" w:color="auto"/>
      </w:divBdr>
    </w:div>
    <w:div w:id="1099064329">
      <w:bodyDiv w:val="1"/>
      <w:marLeft w:val="0"/>
      <w:marRight w:val="0"/>
      <w:marTop w:val="0"/>
      <w:marBottom w:val="0"/>
      <w:divBdr>
        <w:top w:val="none" w:sz="0" w:space="0" w:color="auto"/>
        <w:left w:val="none" w:sz="0" w:space="0" w:color="auto"/>
        <w:bottom w:val="none" w:sz="0" w:space="0" w:color="auto"/>
        <w:right w:val="none" w:sz="0" w:space="0" w:color="auto"/>
      </w:divBdr>
    </w:div>
    <w:div w:id="1132863625">
      <w:bodyDiv w:val="1"/>
      <w:marLeft w:val="0"/>
      <w:marRight w:val="0"/>
      <w:marTop w:val="0"/>
      <w:marBottom w:val="0"/>
      <w:divBdr>
        <w:top w:val="none" w:sz="0" w:space="0" w:color="auto"/>
        <w:left w:val="none" w:sz="0" w:space="0" w:color="auto"/>
        <w:bottom w:val="none" w:sz="0" w:space="0" w:color="auto"/>
        <w:right w:val="none" w:sz="0" w:space="0" w:color="auto"/>
      </w:divBdr>
    </w:div>
    <w:div w:id="1158226484">
      <w:bodyDiv w:val="1"/>
      <w:marLeft w:val="0"/>
      <w:marRight w:val="0"/>
      <w:marTop w:val="0"/>
      <w:marBottom w:val="0"/>
      <w:divBdr>
        <w:top w:val="none" w:sz="0" w:space="0" w:color="auto"/>
        <w:left w:val="none" w:sz="0" w:space="0" w:color="auto"/>
        <w:bottom w:val="none" w:sz="0" w:space="0" w:color="auto"/>
        <w:right w:val="none" w:sz="0" w:space="0" w:color="auto"/>
      </w:divBdr>
    </w:div>
    <w:div w:id="1249853217">
      <w:bodyDiv w:val="1"/>
      <w:marLeft w:val="0"/>
      <w:marRight w:val="0"/>
      <w:marTop w:val="0"/>
      <w:marBottom w:val="0"/>
      <w:divBdr>
        <w:top w:val="none" w:sz="0" w:space="0" w:color="auto"/>
        <w:left w:val="none" w:sz="0" w:space="0" w:color="auto"/>
        <w:bottom w:val="none" w:sz="0" w:space="0" w:color="auto"/>
        <w:right w:val="none" w:sz="0" w:space="0" w:color="auto"/>
      </w:divBdr>
    </w:div>
    <w:div w:id="1355038989">
      <w:bodyDiv w:val="1"/>
      <w:marLeft w:val="0"/>
      <w:marRight w:val="0"/>
      <w:marTop w:val="0"/>
      <w:marBottom w:val="0"/>
      <w:divBdr>
        <w:top w:val="none" w:sz="0" w:space="0" w:color="auto"/>
        <w:left w:val="none" w:sz="0" w:space="0" w:color="auto"/>
        <w:bottom w:val="none" w:sz="0" w:space="0" w:color="auto"/>
        <w:right w:val="none" w:sz="0" w:space="0" w:color="auto"/>
      </w:divBdr>
    </w:div>
    <w:div w:id="1380326719">
      <w:bodyDiv w:val="1"/>
      <w:marLeft w:val="0"/>
      <w:marRight w:val="0"/>
      <w:marTop w:val="0"/>
      <w:marBottom w:val="0"/>
      <w:divBdr>
        <w:top w:val="none" w:sz="0" w:space="0" w:color="auto"/>
        <w:left w:val="none" w:sz="0" w:space="0" w:color="auto"/>
        <w:bottom w:val="none" w:sz="0" w:space="0" w:color="auto"/>
        <w:right w:val="none" w:sz="0" w:space="0" w:color="auto"/>
      </w:divBdr>
    </w:div>
    <w:div w:id="1403140398">
      <w:bodyDiv w:val="1"/>
      <w:marLeft w:val="0"/>
      <w:marRight w:val="0"/>
      <w:marTop w:val="0"/>
      <w:marBottom w:val="0"/>
      <w:divBdr>
        <w:top w:val="none" w:sz="0" w:space="0" w:color="auto"/>
        <w:left w:val="none" w:sz="0" w:space="0" w:color="auto"/>
        <w:bottom w:val="none" w:sz="0" w:space="0" w:color="auto"/>
        <w:right w:val="none" w:sz="0" w:space="0" w:color="auto"/>
      </w:divBdr>
    </w:div>
    <w:div w:id="1553729615">
      <w:bodyDiv w:val="1"/>
      <w:marLeft w:val="0"/>
      <w:marRight w:val="0"/>
      <w:marTop w:val="0"/>
      <w:marBottom w:val="0"/>
      <w:divBdr>
        <w:top w:val="none" w:sz="0" w:space="0" w:color="auto"/>
        <w:left w:val="none" w:sz="0" w:space="0" w:color="auto"/>
        <w:bottom w:val="none" w:sz="0" w:space="0" w:color="auto"/>
        <w:right w:val="none" w:sz="0" w:space="0" w:color="auto"/>
      </w:divBdr>
    </w:div>
    <w:div w:id="1589578751">
      <w:bodyDiv w:val="1"/>
      <w:marLeft w:val="0"/>
      <w:marRight w:val="0"/>
      <w:marTop w:val="0"/>
      <w:marBottom w:val="0"/>
      <w:divBdr>
        <w:top w:val="none" w:sz="0" w:space="0" w:color="auto"/>
        <w:left w:val="none" w:sz="0" w:space="0" w:color="auto"/>
        <w:bottom w:val="none" w:sz="0" w:space="0" w:color="auto"/>
        <w:right w:val="none" w:sz="0" w:space="0" w:color="auto"/>
      </w:divBdr>
    </w:div>
    <w:div w:id="1636177957">
      <w:bodyDiv w:val="1"/>
      <w:marLeft w:val="0"/>
      <w:marRight w:val="0"/>
      <w:marTop w:val="0"/>
      <w:marBottom w:val="0"/>
      <w:divBdr>
        <w:top w:val="none" w:sz="0" w:space="0" w:color="auto"/>
        <w:left w:val="none" w:sz="0" w:space="0" w:color="auto"/>
        <w:bottom w:val="none" w:sz="0" w:space="0" w:color="auto"/>
        <w:right w:val="none" w:sz="0" w:space="0" w:color="auto"/>
      </w:divBdr>
    </w:div>
    <w:div w:id="1723216952">
      <w:bodyDiv w:val="1"/>
      <w:marLeft w:val="0"/>
      <w:marRight w:val="0"/>
      <w:marTop w:val="0"/>
      <w:marBottom w:val="0"/>
      <w:divBdr>
        <w:top w:val="none" w:sz="0" w:space="0" w:color="auto"/>
        <w:left w:val="none" w:sz="0" w:space="0" w:color="auto"/>
        <w:bottom w:val="none" w:sz="0" w:space="0" w:color="auto"/>
        <w:right w:val="none" w:sz="0" w:space="0" w:color="auto"/>
      </w:divBdr>
    </w:div>
    <w:div w:id="1742022722">
      <w:bodyDiv w:val="1"/>
      <w:marLeft w:val="0"/>
      <w:marRight w:val="0"/>
      <w:marTop w:val="0"/>
      <w:marBottom w:val="0"/>
      <w:divBdr>
        <w:top w:val="none" w:sz="0" w:space="0" w:color="auto"/>
        <w:left w:val="none" w:sz="0" w:space="0" w:color="auto"/>
        <w:bottom w:val="none" w:sz="0" w:space="0" w:color="auto"/>
        <w:right w:val="none" w:sz="0" w:space="0" w:color="auto"/>
      </w:divBdr>
    </w:div>
    <w:div w:id="1787850063">
      <w:bodyDiv w:val="1"/>
      <w:marLeft w:val="0"/>
      <w:marRight w:val="0"/>
      <w:marTop w:val="0"/>
      <w:marBottom w:val="0"/>
      <w:divBdr>
        <w:top w:val="none" w:sz="0" w:space="0" w:color="auto"/>
        <w:left w:val="none" w:sz="0" w:space="0" w:color="auto"/>
        <w:bottom w:val="none" w:sz="0" w:space="0" w:color="auto"/>
        <w:right w:val="none" w:sz="0" w:space="0" w:color="auto"/>
      </w:divBdr>
    </w:div>
    <w:div w:id="1819759195">
      <w:bodyDiv w:val="1"/>
      <w:marLeft w:val="0"/>
      <w:marRight w:val="0"/>
      <w:marTop w:val="0"/>
      <w:marBottom w:val="0"/>
      <w:divBdr>
        <w:top w:val="none" w:sz="0" w:space="0" w:color="auto"/>
        <w:left w:val="none" w:sz="0" w:space="0" w:color="auto"/>
        <w:bottom w:val="none" w:sz="0" w:space="0" w:color="auto"/>
        <w:right w:val="none" w:sz="0" w:space="0" w:color="auto"/>
      </w:divBdr>
    </w:div>
    <w:div w:id="1832477360">
      <w:bodyDiv w:val="1"/>
      <w:marLeft w:val="0"/>
      <w:marRight w:val="0"/>
      <w:marTop w:val="0"/>
      <w:marBottom w:val="0"/>
      <w:divBdr>
        <w:top w:val="none" w:sz="0" w:space="0" w:color="auto"/>
        <w:left w:val="none" w:sz="0" w:space="0" w:color="auto"/>
        <w:bottom w:val="none" w:sz="0" w:space="0" w:color="auto"/>
        <w:right w:val="none" w:sz="0" w:space="0" w:color="auto"/>
      </w:divBdr>
    </w:div>
    <w:div w:id="1921328479">
      <w:bodyDiv w:val="1"/>
      <w:marLeft w:val="0"/>
      <w:marRight w:val="0"/>
      <w:marTop w:val="0"/>
      <w:marBottom w:val="0"/>
      <w:divBdr>
        <w:top w:val="none" w:sz="0" w:space="0" w:color="auto"/>
        <w:left w:val="none" w:sz="0" w:space="0" w:color="auto"/>
        <w:bottom w:val="none" w:sz="0" w:space="0" w:color="auto"/>
        <w:right w:val="none" w:sz="0" w:space="0" w:color="auto"/>
      </w:divBdr>
    </w:div>
    <w:div w:id="1923098044">
      <w:bodyDiv w:val="1"/>
      <w:marLeft w:val="0"/>
      <w:marRight w:val="0"/>
      <w:marTop w:val="0"/>
      <w:marBottom w:val="0"/>
      <w:divBdr>
        <w:top w:val="none" w:sz="0" w:space="0" w:color="auto"/>
        <w:left w:val="none" w:sz="0" w:space="0" w:color="auto"/>
        <w:bottom w:val="none" w:sz="0" w:space="0" w:color="auto"/>
        <w:right w:val="none" w:sz="0" w:space="0" w:color="auto"/>
      </w:divBdr>
    </w:div>
    <w:div w:id="1924221638">
      <w:bodyDiv w:val="1"/>
      <w:marLeft w:val="0"/>
      <w:marRight w:val="0"/>
      <w:marTop w:val="0"/>
      <w:marBottom w:val="0"/>
      <w:divBdr>
        <w:top w:val="none" w:sz="0" w:space="0" w:color="auto"/>
        <w:left w:val="none" w:sz="0" w:space="0" w:color="auto"/>
        <w:bottom w:val="none" w:sz="0" w:space="0" w:color="auto"/>
        <w:right w:val="none" w:sz="0" w:space="0" w:color="auto"/>
      </w:divBdr>
    </w:div>
    <w:div w:id="1935745498">
      <w:bodyDiv w:val="1"/>
      <w:marLeft w:val="0"/>
      <w:marRight w:val="0"/>
      <w:marTop w:val="0"/>
      <w:marBottom w:val="0"/>
      <w:divBdr>
        <w:top w:val="none" w:sz="0" w:space="0" w:color="auto"/>
        <w:left w:val="none" w:sz="0" w:space="0" w:color="auto"/>
        <w:bottom w:val="none" w:sz="0" w:space="0" w:color="auto"/>
        <w:right w:val="none" w:sz="0" w:space="0" w:color="auto"/>
      </w:divBdr>
    </w:div>
    <w:div w:id="1983659435">
      <w:bodyDiv w:val="1"/>
      <w:marLeft w:val="0"/>
      <w:marRight w:val="0"/>
      <w:marTop w:val="0"/>
      <w:marBottom w:val="0"/>
      <w:divBdr>
        <w:top w:val="none" w:sz="0" w:space="0" w:color="auto"/>
        <w:left w:val="none" w:sz="0" w:space="0" w:color="auto"/>
        <w:bottom w:val="none" w:sz="0" w:space="0" w:color="auto"/>
        <w:right w:val="none" w:sz="0" w:space="0" w:color="auto"/>
      </w:divBdr>
    </w:div>
    <w:div w:id="2028217016">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 w:id="213675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13.png@01D5EE85.27354040" TargetMode="External"/><Relationship Id="rId13" Type="http://schemas.openxmlformats.org/officeDocument/2006/relationships/image" Target="media/image4.png"/><Relationship Id="rId18" Type="http://schemas.openxmlformats.org/officeDocument/2006/relationships/image" Target="cid:image002.png@01D5EE5E.EF78901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21.png@01D5EE85.27354040"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cid:image001.png@01D5EE5E.EF78901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cid:image020.png@01D5EE85.2735404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cid:image022.png@01D5EE85.27354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12640</Words>
  <Characters>59897</Characters>
  <Application>Microsoft Office Word</Application>
  <DocSecurity>0</DocSecurity>
  <Lines>499</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2019-11-19T22:28:00Z</dcterms:created>
  <dcterms:modified xsi:type="dcterms:W3CDTF">2020-02-28T17:15:00Z</dcterms:modified>
  <cp:category/>
</cp:coreProperties>
</file>